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DC8" w:rsidRPr="001B0BFB" w:rsidRDefault="00370DD9" w:rsidP="00ED175A">
      <w:pPr>
        <w:outlineLvl w:val="0"/>
      </w:pPr>
      <w:r w:rsidRPr="001B0BFB">
        <w:t xml:space="preserve">  </w:t>
      </w:r>
    </w:p>
    <w:p w:rsidR="00370DD9" w:rsidRPr="001B0BFB" w:rsidRDefault="00370DD9" w:rsidP="00370DD9">
      <w:pPr>
        <w:jc w:val="right"/>
        <w:outlineLvl w:val="0"/>
        <w:rPr>
          <w:b/>
        </w:rPr>
      </w:pPr>
      <w:r w:rsidRPr="001B0BFB">
        <w:rPr>
          <w:b/>
        </w:rPr>
        <w:t>A</w:t>
      </w:r>
      <w:r w:rsidR="002A1429" w:rsidRPr="001B0BFB">
        <w:rPr>
          <w:b/>
        </w:rPr>
        <w:t>pstiprināts ar</w:t>
      </w:r>
    </w:p>
    <w:p w:rsidR="00A51DC8" w:rsidRPr="001B0BFB" w:rsidRDefault="00013A2E" w:rsidP="00370DD9">
      <w:pPr>
        <w:jc w:val="right"/>
        <w:outlineLvl w:val="0"/>
        <w:rPr>
          <w:i/>
        </w:rPr>
      </w:pPr>
      <w:r w:rsidRPr="00013A2E">
        <w:rPr>
          <w:i/>
          <w:highlight w:val="yellow"/>
        </w:rPr>
        <w:t>Rīgas Ēbelmuižas pamatskolas direktora 202</w:t>
      </w:r>
      <w:r w:rsidR="00D10A06">
        <w:rPr>
          <w:i/>
          <w:highlight w:val="yellow"/>
        </w:rPr>
        <w:t>2</w:t>
      </w:r>
      <w:r w:rsidRPr="00013A2E">
        <w:rPr>
          <w:i/>
          <w:highlight w:val="yellow"/>
        </w:rPr>
        <w:t xml:space="preserve">. gada    </w:t>
      </w:r>
      <w:r w:rsidR="00D10A06">
        <w:rPr>
          <w:i/>
          <w:highlight w:val="yellow"/>
        </w:rPr>
        <w:t xml:space="preserve">maija </w:t>
      </w:r>
      <w:r w:rsidRPr="00013A2E">
        <w:rPr>
          <w:i/>
          <w:highlight w:val="yellow"/>
        </w:rPr>
        <w:t xml:space="preserve"> rīkojumu Nr. VSNB-2</w:t>
      </w:r>
      <w:r w:rsidR="00D10A06">
        <w:rPr>
          <w:i/>
          <w:highlight w:val="yellow"/>
        </w:rPr>
        <w:t>2</w:t>
      </w:r>
      <w:r w:rsidRPr="00013A2E">
        <w:rPr>
          <w:i/>
          <w:highlight w:val="yellow"/>
        </w:rPr>
        <w:t>-</w:t>
      </w:r>
      <w:r>
        <w:rPr>
          <w:i/>
        </w:rPr>
        <w:t xml:space="preserve"> </w:t>
      </w:r>
      <w:r w:rsidR="00A51DC8" w:rsidRPr="001B0BFB">
        <w:rPr>
          <w:i/>
        </w:rPr>
        <w:t xml:space="preserve"> </w:t>
      </w:r>
    </w:p>
    <w:p w:rsidR="008C04C9" w:rsidRDefault="001429F4" w:rsidP="00C335FB">
      <w:pPr>
        <w:tabs>
          <w:tab w:val="left" w:pos="4680"/>
        </w:tabs>
        <w:outlineLvl w:val="0"/>
        <w:rPr>
          <w:i/>
        </w:rPr>
      </w:pPr>
      <w:r w:rsidRPr="001B0BFB">
        <w:rPr>
          <w:i/>
        </w:rPr>
        <w:t xml:space="preserve">                                             </w:t>
      </w:r>
    </w:p>
    <w:p w:rsidR="009F0C00" w:rsidRPr="001B0BFB" w:rsidRDefault="00013A2E" w:rsidP="001B4E8C">
      <w:pPr>
        <w:jc w:val="center"/>
      </w:pPr>
      <w:r>
        <w:rPr>
          <w:b/>
        </w:rPr>
        <w:t xml:space="preserve">Rīgas Ēbelmuižas pamatskolas </w:t>
      </w:r>
      <w:r w:rsidR="009F0C00" w:rsidRPr="001B0BFB">
        <w:rPr>
          <w:b/>
        </w:rPr>
        <w:t xml:space="preserve">pretkorupcijas pasākumu plāns </w:t>
      </w:r>
      <w:r w:rsidR="001429F4" w:rsidRPr="001B0BFB">
        <w:rPr>
          <w:b/>
        </w:rPr>
        <w:t>periodam no 01.0</w:t>
      </w:r>
      <w:r w:rsidR="00D10A06">
        <w:rPr>
          <w:b/>
        </w:rPr>
        <w:t>1</w:t>
      </w:r>
      <w:r w:rsidR="001429F4" w:rsidRPr="001B0BFB">
        <w:rPr>
          <w:b/>
        </w:rPr>
        <w:t>.202</w:t>
      </w:r>
      <w:r w:rsidR="00D10A06">
        <w:rPr>
          <w:b/>
        </w:rPr>
        <w:t>2</w:t>
      </w:r>
      <w:r w:rsidR="001429F4" w:rsidRPr="001B0BFB">
        <w:rPr>
          <w:b/>
        </w:rPr>
        <w:t>.-31.12.202</w:t>
      </w:r>
      <w:r w:rsidR="00D10A06">
        <w:rPr>
          <w:b/>
        </w:rPr>
        <w:t>2</w:t>
      </w:r>
      <w:r w:rsidR="001429F4" w:rsidRPr="001B0BFB">
        <w:rPr>
          <w:b/>
        </w:rPr>
        <w:t>.</w:t>
      </w:r>
      <w:r w:rsidR="00D56170">
        <w:rPr>
          <w:b/>
        </w:rPr>
        <w:t>gadam</w:t>
      </w:r>
      <w:r w:rsidR="009F0C00" w:rsidRPr="001B0BFB">
        <w:rPr>
          <w:b/>
        </w:rPr>
        <w:t xml:space="preserve"> </w:t>
      </w:r>
    </w:p>
    <w:tbl>
      <w:tblPr>
        <w:tblpPr w:leftFromText="180" w:rightFromText="180" w:vertAnchor="text" w:horzAnchor="margin" w:tblpX="-578" w:tblpY="452"/>
        <w:tblW w:w="15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439"/>
        <w:gridCol w:w="3100"/>
        <w:gridCol w:w="1010"/>
        <w:gridCol w:w="3593"/>
        <w:gridCol w:w="1559"/>
        <w:gridCol w:w="1985"/>
        <w:gridCol w:w="1492"/>
      </w:tblGrid>
      <w:tr w:rsidR="002E637D" w:rsidRPr="001B0BFB" w:rsidTr="00013A2E">
        <w:trPr>
          <w:cantSplit/>
          <w:trHeight w:val="1208"/>
        </w:trPr>
        <w:tc>
          <w:tcPr>
            <w:tcW w:w="817" w:type="dxa"/>
            <w:shd w:val="clear" w:color="auto" w:fill="95B3D7"/>
            <w:vAlign w:val="center"/>
          </w:tcPr>
          <w:p w:rsidR="002E637D" w:rsidRPr="001B0BFB" w:rsidRDefault="002E637D" w:rsidP="00013A2E">
            <w:pPr>
              <w:jc w:val="center"/>
              <w:rPr>
                <w:b/>
                <w:bCs/>
              </w:rPr>
            </w:pPr>
            <w:r w:rsidRPr="001B0BFB">
              <w:rPr>
                <w:b/>
                <w:bCs/>
              </w:rPr>
              <w:t>Nr.p.k.</w:t>
            </w:r>
          </w:p>
          <w:p w:rsidR="002E637D" w:rsidRPr="001B0BFB" w:rsidRDefault="002E637D" w:rsidP="00013A2E">
            <w:pPr>
              <w:jc w:val="center"/>
              <w:rPr>
                <w:b/>
                <w:bCs/>
              </w:rPr>
            </w:pPr>
          </w:p>
        </w:tc>
        <w:tc>
          <w:tcPr>
            <w:tcW w:w="2439" w:type="dxa"/>
            <w:shd w:val="clear" w:color="auto" w:fill="95B3D7"/>
            <w:vAlign w:val="center"/>
          </w:tcPr>
          <w:p w:rsidR="002E637D" w:rsidRPr="001B0BFB" w:rsidRDefault="002E637D" w:rsidP="00013A2E">
            <w:pPr>
              <w:jc w:val="center"/>
              <w:rPr>
                <w:b/>
                <w:bCs/>
              </w:rPr>
            </w:pPr>
            <w:r w:rsidRPr="001B0BFB">
              <w:rPr>
                <w:b/>
                <w:bCs/>
              </w:rPr>
              <w:t>Veicamā funkcija (uzdevumi)/darbības joma</w:t>
            </w:r>
          </w:p>
        </w:tc>
        <w:tc>
          <w:tcPr>
            <w:tcW w:w="3100" w:type="dxa"/>
            <w:shd w:val="clear" w:color="auto" w:fill="95B3D7"/>
            <w:vAlign w:val="center"/>
          </w:tcPr>
          <w:p w:rsidR="002E637D" w:rsidRPr="001B0BFB" w:rsidRDefault="002E637D" w:rsidP="00013A2E">
            <w:pPr>
              <w:jc w:val="center"/>
              <w:rPr>
                <w:b/>
                <w:bCs/>
              </w:rPr>
            </w:pPr>
            <w:r w:rsidRPr="001B0BFB">
              <w:rPr>
                <w:b/>
                <w:bCs/>
              </w:rPr>
              <w:t>Risks, riska notikuma apraksts</w:t>
            </w:r>
          </w:p>
        </w:tc>
        <w:tc>
          <w:tcPr>
            <w:tcW w:w="1010" w:type="dxa"/>
            <w:shd w:val="clear" w:color="auto" w:fill="95B3D7"/>
            <w:vAlign w:val="center"/>
          </w:tcPr>
          <w:p w:rsidR="002E637D" w:rsidRPr="001B0BFB" w:rsidRDefault="002E637D" w:rsidP="00013A2E">
            <w:pPr>
              <w:jc w:val="center"/>
              <w:rPr>
                <w:b/>
                <w:bCs/>
              </w:rPr>
            </w:pPr>
            <w:r w:rsidRPr="001B0BFB">
              <w:rPr>
                <w:b/>
                <w:bCs/>
              </w:rPr>
              <w:t>Riska līmenis</w:t>
            </w:r>
          </w:p>
        </w:tc>
        <w:tc>
          <w:tcPr>
            <w:tcW w:w="3593" w:type="dxa"/>
            <w:shd w:val="clear" w:color="auto" w:fill="95B3D7"/>
            <w:vAlign w:val="center"/>
          </w:tcPr>
          <w:p w:rsidR="002E637D" w:rsidRPr="001B0BFB" w:rsidRDefault="002E637D" w:rsidP="00013A2E">
            <w:pPr>
              <w:jc w:val="center"/>
              <w:rPr>
                <w:b/>
                <w:bCs/>
              </w:rPr>
            </w:pPr>
            <w:r w:rsidRPr="001B0BFB">
              <w:rPr>
                <w:b/>
                <w:bCs/>
              </w:rPr>
              <w:t>Pasākums riska mazināšanai vai novēršanai</w:t>
            </w:r>
          </w:p>
        </w:tc>
        <w:tc>
          <w:tcPr>
            <w:tcW w:w="1559" w:type="dxa"/>
            <w:shd w:val="clear" w:color="auto" w:fill="95B3D7" w:themeFill="accent1" w:themeFillTint="99"/>
          </w:tcPr>
          <w:p w:rsidR="00AD5F87" w:rsidRPr="001B0BFB" w:rsidRDefault="00AD5F87" w:rsidP="00013A2E">
            <w:pPr>
              <w:jc w:val="center"/>
              <w:rPr>
                <w:b/>
                <w:bCs/>
              </w:rPr>
            </w:pPr>
          </w:p>
          <w:p w:rsidR="002E637D" w:rsidRPr="001B0BFB" w:rsidRDefault="002E637D" w:rsidP="00013A2E">
            <w:pPr>
              <w:jc w:val="center"/>
              <w:rPr>
                <w:b/>
                <w:bCs/>
              </w:rPr>
            </w:pPr>
            <w:r w:rsidRPr="001B0BFB">
              <w:rPr>
                <w:b/>
                <w:bCs/>
              </w:rPr>
              <w:t>Rezultatīvais rādītājs</w:t>
            </w:r>
          </w:p>
        </w:tc>
        <w:tc>
          <w:tcPr>
            <w:tcW w:w="1985" w:type="dxa"/>
            <w:shd w:val="clear" w:color="auto" w:fill="95B3D7"/>
            <w:vAlign w:val="center"/>
          </w:tcPr>
          <w:p w:rsidR="002E637D" w:rsidRPr="001B0BFB" w:rsidRDefault="002E637D" w:rsidP="00013A2E">
            <w:pPr>
              <w:jc w:val="center"/>
              <w:rPr>
                <w:b/>
                <w:bCs/>
              </w:rPr>
            </w:pPr>
            <w:r w:rsidRPr="001B0BFB">
              <w:rPr>
                <w:b/>
                <w:bCs/>
              </w:rPr>
              <w:t>Atbildīgais par pasākuma izpildi</w:t>
            </w:r>
          </w:p>
        </w:tc>
        <w:tc>
          <w:tcPr>
            <w:tcW w:w="1492" w:type="dxa"/>
            <w:shd w:val="clear" w:color="auto" w:fill="95B3D7"/>
            <w:vAlign w:val="center"/>
          </w:tcPr>
          <w:p w:rsidR="002E637D" w:rsidRPr="001B0BFB" w:rsidRDefault="00357290" w:rsidP="00013A2E">
            <w:pPr>
              <w:jc w:val="center"/>
              <w:rPr>
                <w:b/>
                <w:bCs/>
              </w:rPr>
            </w:pPr>
            <w:r w:rsidRPr="001B0BFB">
              <w:rPr>
                <w:b/>
                <w:bCs/>
              </w:rPr>
              <w:t>Izpildes</w:t>
            </w:r>
            <w:r w:rsidR="002E637D" w:rsidRPr="001B0BFB">
              <w:rPr>
                <w:b/>
                <w:bCs/>
              </w:rPr>
              <w:t xml:space="preserve"> termiņš</w:t>
            </w:r>
          </w:p>
        </w:tc>
      </w:tr>
      <w:tr w:rsidR="002E637D" w:rsidRPr="001B0BFB" w:rsidTr="00013A2E">
        <w:trPr>
          <w:cantSplit/>
          <w:trHeight w:val="474"/>
        </w:trPr>
        <w:tc>
          <w:tcPr>
            <w:tcW w:w="817" w:type="dxa"/>
            <w:shd w:val="clear" w:color="auto" w:fill="95B3D7"/>
            <w:vAlign w:val="center"/>
          </w:tcPr>
          <w:p w:rsidR="002E637D" w:rsidRPr="001B0BFB" w:rsidRDefault="002E637D" w:rsidP="00013A2E">
            <w:pPr>
              <w:jc w:val="center"/>
            </w:pPr>
            <w:r w:rsidRPr="001B0BFB">
              <w:t>1</w:t>
            </w:r>
          </w:p>
        </w:tc>
        <w:tc>
          <w:tcPr>
            <w:tcW w:w="2439" w:type="dxa"/>
            <w:shd w:val="clear" w:color="auto" w:fill="95B3D7"/>
          </w:tcPr>
          <w:p w:rsidR="002E637D" w:rsidRPr="001B0BFB" w:rsidRDefault="002E637D" w:rsidP="00013A2E">
            <w:pPr>
              <w:jc w:val="center"/>
            </w:pPr>
            <w:r w:rsidRPr="001B0BFB">
              <w:t>2</w:t>
            </w:r>
          </w:p>
        </w:tc>
        <w:tc>
          <w:tcPr>
            <w:tcW w:w="3100" w:type="dxa"/>
            <w:shd w:val="clear" w:color="auto" w:fill="95B3D7"/>
          </w:tcPr>
          <w:p w:rsidR="002E637D" w:rsidRPr="001B0BFB" w:rsidRDefault="002E637D" w:rsidP="00013A2E">
            <w:pPr>
              <w:jc w:val="center"/>
            </w:pPr>
            <w:r w:rsidRPr="001B0BFB">
              <w:t>3</w:t>
            </w:r>
          </w:p>
        </w:tc>
        <w:tc>
          <w:tcPr>
            <w:tcW w:w="1010" w:type="dxa"/>
            <w:shd w:val="clear" w:color="auto" w:fill="95B3D7"/>
          </w:tcPr>
          <w:p w:rsidR="002E637D" w:rsidRPr="001B0BFB" w:rsidRDefault="002E637D" w:rsidP="00013A2E">
            <w:pPr>
              <w:jc w:val="center"/>
            </w:pPr>
            <w:r w:rsidRPr="001B0BFB">
              <w:t>4</w:t>
            </w:r>
          </w:p>
          <w:p w:rsidR="002E637D" w:rsidRPr="001B0BFB" w:rsidRDefault="002E637D" w:rsidP="00013A2E">
            <w:pPr>
              <w:jc w:val="center"/>
            </w:pPr>
          </w:p>
        </w:tc>
        <w:tc>
          <w:tcPr>
            <w:tcW w:w="3593" w:type="dxa"/>
            <w:shd w:val="clear" w:color="auto" w:fill="95B3D7"/>
          </w:tcPr>
          <w:p w:rsidR="002E637D" w:rsidRPr="001B0BFB" w:rsidRDefault="007D1C5D" w:rsidP="00013A2E">
            <w:pPr>
              <w:jc w:val="center"/>
            </w:pPr>
            <w:r w:rsidRPr="001B0BFB">
              <w:t>5</w:t>
            </w:r>
          </w:p>
        </w:tc>
        <w:tc>
          <w:tcPr>
            <w:tcW w:w="1559" w:type="dxa"/>
            <w:shd w:val="clear" w:color="auto" w:fill="95B3D7" w:themeFill="accent1" w:themeFillTint="99"/>
          </w:tcPr>
          <w:p w:rsidR="002E637D" w:rsidRPr="001B0BFB" w:rsidRDefault="007D1C5D" w:rsidP="00013A2E">
            <w:pPr>
              <w:jc w:val="center"/>
            </w:pPr>
            <w:r w:rsidRPr="001B0BFB">
              <w:t>6</w:t>
            </w:r>
          </w:p>
        </w:tc>
        <w:tc>
          <w:tcPr>
            <w:tcW w:w="1985" w:type="dxa"/>
            <w:shd w:val="clear" w:color="auto" w:fill="95B3D7"/>
          </w:tcPr>
          <w:p w:rsidR="002E637D" w:rsidRPr="001B0BFB" w:rsidRDefault="002E637D" w:rsidP="00013A2E">
            <w:pPr>
              <w:jc w:val="center"/>
            </w:pPr>
            <w:r w:rsidRPr="001B0BFB">
              <w:t>7</w:t>
            </w:r>
          </w:p>
        </w:tc>
        <w:tc>
          <w:tcPr>
            <w:tcW w:w="1492" w:type="dxa"/>
            <w:shd w:val="clear" w:color="auto" w:fill="95B3D7"/>
          </w:tcPr>
          <w:p w:rsidR="002E637D" w:rsidRPr="001B0BFB" w:rsidRDefault="002E637D" w:rsidP="00013A2E">
            <w:pPr>
              <w:jc w:val="center"/>
            </w:pPr>
            <w:r w:rsidRPr="001B0BFB">
              <w:t>8</w:t>
            </w:r>
          </w:p>
        </w:tc>
      </w:tr>
    </w:tbl>
    <w:p w:rsidR="009F0C00" w:rsidRPr="00A51DC8" w:rsidRDefault="001429F4" w:rsidP="001429F4">
      <w:pPr>
        <w:rPr>
          <w:i/>
        </w:rPr>
      </w:pPr>
      <w:r>
        <w:rPr>
          <w:i/>
        </w:rPr>
        <w:t xml:space="preserve">                                                  </w:t>
      </w:r>
    </w:p>
    <w:p w:rsidR="008A19C5" w:rsidRDefault="008A19C5" w:rsidP="009F0C00"/>
    <w:tbl>
      <w:tblPr>
        <w:tblpPr w:leftFromText="180" w:rightFromText="180" w:vertAnchor="text" w:horzAnchor="margin" w:tblpY="-119"/>
        <w:tblW w:w="15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2977"/>
        <w:gridCol w:w="567"/>
        <w:gridCol w:w="3685"/>
        <w:gridCol w:w="1843"/>
        <w:gridCol w:w="2126"/>
        <w:gridCol w:w="1373"/>
      </w:tblGrid>
      <w:tr w:rsidR="00A35B24" w:rsidRPr="009A5E6B" w:rsidTr="0093064D">
        <w:trPr>
          <w:cantSplit/>
          <w:trHeight w:val="4617"/>
        </w:trPr>
        <w:tc>
          <w:tcPr>
            <w:tcW w:w="675" w:type="dxa"/>
            <w:tcBorders>
              <w:right w:val="single" w:sz="4" w:space="0" w:color="auto"/>
            </w:tcBorders>
            <w:shd w:val="clear" w:color="auto" w:fill="95B3D7" w:themeFill="accent1" w:themeFillTint="99"/>
            <w:noWrap/>
            <w:vAlign w:val="center"/>
          </w:tcPr>
          <w:p w:rsidR="00A0790B" w:rsidRPr="0093064D" w:rsidRDefault="001429F4" w:rsidP="00A0790B">
            <w:pPr>
              <w:jc w:val="center"/>
            </w:pPr>
            <w:r w:rsidRPr="0093064D">
              <w:lastRenderedPageBreak/>
              <w:t>1</w:t>
            </w:r>
            <w:r w:rsidR="00A35B24" w:rsidRPr="0093064D">
              <w:t>.</w:t>
            </w:r>
          </w:p>
          <w:p w:rsidR="00A0790B" w:rsidRPr="0093064D" w:rsidRDefault="00A0790B" w:rsidP="00A0790B">
            <w:pPr>
              <w:jc w:val="center"/>
            </w:pPr>
          </w:p>
          <w:p w:rsidR="00A0790B" w:rsidRPr="0093064D" w:rsidRDefault="00A0790B" w:rsidP="00A0790B">
            <w:pPr>
              <w:jc w:val="center"/>
            </w:pPr>
          </w:p>
          <w:p w:rsidR="00A0790B" w:rsidRPr="0093064D" w:rsidRDefault="00A0790B" w:rsidP="00A0790B">
            <w:pPr>
              <w:jc w:val="center"/>
            </w:pPr>
          </w:p>
          <w:p w:rsidR="00A0790B" w:rsidRPr="0093064D" w:rsidRDefault="00A0790B" w:rsidP="00A0790B">
            <w:pPr>
              <w:jc w:val="center"/>
            </w:pPr>
          </w:p>
          <w:p w:rsidR="00A0790B" w:rsidRPr="0093064D" w:rsidRDefault="00A0790B" w:rsidP="00A0790B">
            <w:pPr>
              <w:jc w:val="center"/>
            </w:pPr>
          </w:p>
          <w:p w:rsidR="00A0790B" w:rsidRPr="0093064D" w:rsidRDefault="00A0790B" w:rsidP="00A0790B">
            <w:pPr>
              <w:jc w:val="center"/>
            </w:pPr>
          </w:p>
        </w:tc>
        <w:tc>
          <w:tcPr>
            <w:tcW w:w="1843" w:type="dxa"/>
            <w:shd w:val="clear" w:color="auto" w:fill="auto"/>
            <w:noWrap/>
          </w:tcPr>
          <w:p w:rsidR="00A35B24" w:rsidRPr="0093064D" w:rsidRDefault="00A35B24" w:rsidP="00FB51A4">
            <w:pPr>
              <w:rPr>
                <w:rFonts w:eastAsia="Calibri"/>
                <w:b/>
                <w:lang w:eastAsia="en-US"/>
              </w:rPr>
            </w:pPr>
            <w:r w:rsidRPr="0093064D">
              <w:rPr>
                <w:rFonts w:eastAsia="Calibri"/>
                <w:b/>
                <w:lang w:eastAsia="en-US"/>
              </w:rPr>
              <w:t>Darba laika uzskaite un kontrole</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rsidR="00A35B24" w:rsidRPr="0093064D" w:rsidRDefault="00A35B24" w:rsidP="00CA0DFD">
            <w:pPr>
              <w:jc w:val="both"/>
              <w:rPr>
                <w:rFonts w:eastAsia="Calibri"/>
                <w:lang w:eastAsia="en-US"/>
              </w:rPr>
            </w:pPr>
            <w:r w:rsidRPr="0093064D">
              <w:rPr>
                <w:rFonts w:eastAsia="Calibri"/>
                <w:b/>
                <w:lang w:eastAsia="en-US"/>
              </w:rPr>
              <w:t>Darbiniekam noteikto pienākumu apzināta neveikšana vai nolaidīga veikšana savās vai citu personu interesēs</w:t>
            </w:r>
            <w:r w:rsidRPr="0093064D">
              <w:rPr>
                <w:rFonts w:eastAsia="Calibri"/>
                <w:lang w:eastAsia="en-US"/>
              </w:rPr>
              <w:t xml:space="preserve"> - netiek veikta darba laika plānošana un kontrole atbilstoši amatu sarakstā</w:t>
            </w:r>
            <w:r w:rsidR="001429F4" w:rsidRPr="0093064D">
              <w:rPr>
                <w:rFonts w:eastAsia="Calibri"/>
                <w:lang w:eastAsia="en-US"/>
              </w:rPr>
              <w:t xml:space="preserve"> un darba līgumā</w:t>
            </w:r>
            <w:r w:rsidRPr="0093064D">
              <w:rPr>
                <w:rFonts w:eastAsia="Calibri"/>
                <w:lang w:eastAsia="en-US"/>
              </w:rPr>
              <w:t xml:space="preserve"> noteiktajām slodzēm.</w:t>
            </w:r>
          </w:p>
        </w:tc>
        <w:tc>
          <w:tcPr>
            <w:tcW w:w="567" w:type="dxa"/>
            <w:tcBorders>
              <w:left w:val="single" w:sz="4" w:space="0" w:color="auto"/>
            </w:tcBorders>
            <w:shd w:val="clear" w:color="auto" w:fill="auto"/>
            <w:noWrap/>
          </w:tcPr>
          <w:p w:rsidR="00A35B24" w:rsidRPr="0093064D" w:rsidRDefault="00A35B24" w:rsidP="00FB51A4">
            <w:r w:rsidRPr="0093064D">
              <w:t>V</w:t>
            </w:r>
          </w:p>
        </w:tc>
        <w:tc>
          <w:tcPr>
            <w:tcW w:w="3685" w:type="dxa"/>
            <w:shd w:val="clear" w:color="auto" w:fill="auto"/>
            <w:noWrap/>
          </w:tcPr>
          <w:p w:rsidR="00A35B24" w:rsidRPr="0093064D" w:rsidRDefault="00EA1100" w:rsidP="000952A4">
            <w:pPr>
              <w:jc w:val="both"/>
              <w:rPr>
                <w:rFonts w:eastAsia="Calibri"/>
                <w:lang w:eastAsia="en-US"/>
              </w:rPr>
            </w:pPr>
            <w:r w:rsidRPr="0093064D">
              <w:rPr>
                <w:rFonts w:eastAsia="Calibri"/>
                <w:lang w:eastAsia="en-US"/>
              </w:rPr>
              <w:t xml:space="preserve">Veikt izlases veida pārbaudes par saimniecisko darbinieku darba laika uzskaites tabelē norādīto darba laiku     un darbinieka darba laika uzskaites veidlapās (žurnālos) norādīto darba laiku (īpaši pārbaudot  virsstundas, darbu nakts laikā, brīvdienās un svētku dienās nostrādātās stundas), </w:t>
            </w:r>
            <w:r w:rsidRPr="0093064D">
              <w:rPr>
                <w:rFonts w:eastAsia="Calibri"/>
                <w:u w:val="single"/>
                <w:lang w:eastAsia="en-US"/>
              </w:rPr>
              <w:t>pārbaudi fiksējot aktā.</w:t>
            </w:r>
            <w:r w:rsidR="003648AC" w:rsidRPr="0093064D">
              <w:rPr>
                <w:rFonts w:eastAsia="Calibri"/>
                <w:u w:val="single"/>
                <w:lang w:eastAsia="en-US"/>
              </w:rPr>
              <w:t xml:space="preserve"> </w:t>
            </w:r>
          </w:p>
        </w:tc>
        <w:tc>
          <w:tcPr>
            <w:tcW w:w="1843" w:type="dxa"/>
          </w:tcPr>
          <w:p w:rsidR="00A35B24" w:rsidRPr="0093064D" w:rsidRDefault="00A35B24" w:rsidP="00FB51A4">
            <w:pPr>
              <w:rPr>
                <w:rFonts w:eastAsia="Calibri"/>
                <w:lang w:eastAsia="en-US"/>
              </w:rPr>
            </w:pPr>
            <w:r w:rsidRPr="0093064D">
              <w:rPr>
                <w:rFonts w:eastAsia="Calibri"/>
                <w:lang w:eastAsia="en-US"/>
              </w:rPr>
              <w:t xml:space="preserve">Konstatēto neatbilstību vai pārkāpumu skaits nepārsniedz </w:t>
            </w:r>
            <w:r w:rsidR="006952A1">
              <w:rPr>
                <w:rFonts w:eastAsia="Calibri"/>
                <w:lang w:eastAsia="en-US"/>
              </w:rPr>
              <w:t>2</w:t>
            </w:r>
            <w:r w:rsidRPr="0093064D">
              <w:rPr>
                <w:rFonts w:eastAsia="Calibri"/>
                <w:lang w:eastAsia="en-US"/>
              </w:rPr>
              <w:t xml:space="preserve"> gadījumus gadā.</w:t>
            </w:r>
          </w:p>
        </w:tc>
        <w:tc>
          <w:tcPr>
            <w:tcW w:w="2126" w:type="dxa"/>
            <w:shd w:val="clear" w:color="auto" w:fill="auto"/>
            <w:noWrap/>
          </w:tcPr>
          <w:p w:rsidR="00A35B24" w:rsidRPr="0093064D" w:rsidRDefault="004662F5" w:rsidP="001B0BFB">
            <w:pPr>
              <w:rPr>
                <w:rFonts w:eastAsia="Calibri"/>
                <w:lang w:eastAsia="en-US"/>
              </w:rPr>
            </w:pPr>
            <w:r w:rsidRPr="0093064D">
              <w:rPr>
                <w:rFonts w:eastAsia="Calibri"/>
                <w:lang w:eastAsia="en-US"/>
              </w:rPr>
              <w:t>Direktor</w:t>
            </w:r>
            <w:r w:rsidR="00013A2E">
              <w:rPr>
                <w:rFonts w:eastAsia="Calibri"/>
                <w:lang w:eastAsia="en-US"/>
              </w:rPr>
              <w:t>e K.Pauniņa</w:t>
            </w:r>
            <w:r w:rsidR="001B0BFB" w:rsidRPr="0093064D">
              <w:rPr>
                <w:rFonts w:eastAsia="Calibri"/>
                <w:lang w:eastAsia="en-US"/>
              </w:rPr>
              <w:t xml:space="preserve">, </w:t>
            </w:r>
            <w:r w:rsidRPr="0093064D">
              <w:rPr>
                <w:rFonts w:eastAsia="Calibri"/>
                <w:lang w:eastAsia="en-US"/>
              </w:rPr>
              <w:t>Direktora vietniek</w:t>
            </w:r>
            <w:r w:rsidR="00013A2E">
              <w:rPr>
                <w:rFonts w:eastAsia="Calibri"/>
                <w:lang w:eastAsia="en-US"/>
              </w:rPr>
              <w:t>i R.Nazarova, I.Čekstere, G.Malicka</w:t>
            </w:r>
          </w:p>
        </w:tc>
        <w:tc>
          <w:tcPr>
            <w:tcW w:w="1373" w:type="dxa"/>
            <w:shd w:val="clear" w:color="auto" w:fill="auto"/>
            <w:noWrap/>
          </w:tcPr>
          <w:p w:rsidR="00A35B24" w:rsidRPr="0093064D" w:rsidRDefault="004662F5" w:rsidP="00FB51A4">
            <w:r w:rsidRPr="0093064D">
              <w:rPr>
                <w:rFonts w:eastAsia="Calibri"/>
                <w:lang w:eastAsia="en-US"/>
              </w:rPr>
              <w:t>Ne retāk 1 reizi ceturksnī</w:t>
            </w:r>
          </w:p>
        </w:tc>
      </w:tr>
      <w:tr w:rsidR="00673678" w:rsidRPr="003861B9" w:rsidTr="0093064D">
        <w:trPr>
          <w:cantSplit/>
          <w:trHeight w:val="4617"/>
        </w:trPr>
        <w:tc>
          <w:tcPr>
            <w:tcW w:w="675" w:type="dxa"/>
            <w:tcBorders>
              <w:right w:val="single" w:sz="4" w:space="0" w:color="auto"/>
            </w:tcBorders>
            <w:shd w:val="clear" w:color="auto" w:fill="95B3D7" w:themeFill="accent1" w:themeFillTint="99"/>
            <w:noWrap/>
            <w:vAlign w:val="center"/>
          </w:tcPr>
          <w:p w:rsidR="00673678" w:rsidRPr="003861B9" w:rsidRDefault="006D4548" w:rsidP="00FB51A4">
            <w:r w:rsidRPr="003861B9">
              <w:lastRenderedPageBreak/>
              <w:t>2</w:t>
            </w:r>
            <w:r w:rsidR="00673678" w:rsidRPr="003861B9">
              <w:t>.</w:t>
            </w:r>
          </w:p>
        </w:tc>
        <w:tc>
          <w:tcPr>
            <w:tcW w:w="1843" w:type="dxa"/>
            <w:shd w:val="clear" w:color="auto" w:fill="auto"/>
            <w:noWrap/>
          </w:tcPr>
          <w:p w:rsidR="00673678" w:rsidRPr="003861B9" w:rsidRDefault="00673678" w:rsidP="00FB51A4">
            <w:pPr>
              <w:rPr>
                <w:rFonts w:eastAsia="Calibri"/>
                <w:b/>
                <w:lang w:eastAsia="en-US"/>
              </w:rPr>
            </w:pPr>
            <w:r w:rsidRPr="003861B9">
              <w:rPr>
                <w:rFonts w:eastAsia="Calibri"/>
                <w:b/>
                <w:lang w:eastAsia="en-US"/>
              </w:rPr>
              <w:t>Racionāla un lietderīga kustamās un nekustamās mantas izmantošana</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rsidR="00673678" w:rsidRPr="003861B9" w:rsidRDefault="00673678" w:rsidP="00A35B24">
            <w:pPr>
              <w:jc w:val="both"/>
              <w:rPr>
                <w:rFonts w:eastAsia="Calibri"/>
                <w:b/>
                <w:lang w:eastAsia="en-US"/>
              </w:rPr>
            </w:pPr>
            <w:r w:rsidRPr="003861B9">
              <w:rPr>
                <w:rFonts w:eastAsia="Calibri"/>
                <w:b/>
                <w:lang w:eastAsia="en-US"/>
              </w:rPr>
              <w:t xml:space="preserve">Rīgas pilsētas pašvaldības īpašuma neefektīva izmantošana, rīcība interešu konflikta situācijā, pieņemot nepamatotus lēmumus - </w:t>
            </w:r>
            <w:r w:rsidRPr="003861B9">
              <w:rPr>
                <w:rFonts w:eastAsia="Calibri"/>
                <w:lang w:eastAsia="en-US"/>
              </w:rPr>
              <w:t>telpas tiek izmantotas ar mērķi gūt labumu sev vai trešajai personai.</w:t>
            </w:r>
          </w:p>
        </w:tc>
        <w:tc>
          <w:tcPr>
            <w:tcW w:w="567" w:type="dxa"/>
            <w:tcBorders>
              <w:left w:val="single" w:sz="4" w:space="0" w:color="auto"/>
            </w:tcBorders>
            <w:shd w:val="clear" w:color="auto" w:fill="auto"/>
            <w:noWrap/>
          </w:tcPr>
          <w:p w:rsidR="00673678" w:rsidRPr="003861B9" w:rsidRDefault="00673678" w:rsidP="00FB51A4">
            <w:r w:rsidRPr="003861B9">
              <w:t>V</w:t>
            </w:r>
          </w:p>
        </w:tc>
        <w:tc>
          <w:tcPr>
            <w:tcW w:w="3685" w:type="dxa"/>
            <w:shd w:val="clear" w:color="auto" w:fill="auto"/>
            <w:noWrap/>
          </w:tcPr>
          <w:p w:rsidR="00673678" w:rsidRPr="003861B9" w:rsidRDefault="00673678" w:rsidP="00673678">
            <w:pPr>
              <w:jc w:val="both"/>
              <w:rPr>
                <w:rFonts w:eastAsia="Calibri"/>
                <w:lang w:eastAsia="en-US"/>
              </w:rPr>
            </w:pPr>
            <w:r w:rsidRPr="003861B9">
              <w:rPr>
                <w:rFonts w:eastAsia="Calibri"/>
                <w:lang w:eastAsia="en-US"/>
              </w:rPr>
              <w:t>Veikt izlases veida pārbaudes par skolas telpu izmantošanas atbilstību nodarbību grafikiem un RDLIS sistēmā reģistrētajiem nomas līgumiem, sastādot pārbaudes aktu. Pārbaudi veic Departaments atbilstoši pārbaužu plānam.</w:t>
            </w:r>
          </w:p>
          <w:p w:rsidR="00673678" w:rsidRPr="003861B9" w:rsidRDefault="00673678" w:rsidP="000952A4">
            <w:pPr>
              <w:jc w:val="both"/>
              <w:rPr>
                <w:rFonts w:eastAsia="Calibri"/>
                <w:lang w:eastAsia="en-US"/>
              </w:rPr>
            </w:pPr>
          </w:p>
        </w:tc>
        <w:tc>
          <w:tcPr>
            <w:tcW w:w="1843" w:type="dxa"/>
          </w:tcPr>
          <w:p w:rsidR="00673678" w:rsidRPr="003861B9" w:rsidRDefault="00190DEF" w:rsidP="00FB51A4">
            <w:pPr>
              <w:rPr>
                <w:rFonts w:eastAsia="Calibri"/>
                <w:lang w:eastAsia="en-US"/>
              </w:rPr>
            </w:pPr>
            <w:r w:rsidRPr="003861B9">
              <w:rPr>
                <w:rFonts w:eastAsia="Calibri"/>
                <w:lang w:eastAsia="en-US"/>
              </w:rPr>
              <w:t xml:space="preserve">Departamenta pārbaužu ziņojumos un audita ziņojumos konstatēto neatbilstoši noslēgto īpašuma lietošanas  (nomas) līgumu skaits mazāks par </w:t>
            </w:r>
            <w:r w:rsidR="006952A1">
              <w:rPr>
                <w:rFonts w:eastAsia="Calibri"/>
                <w:lang w:eastAsia="en-US"/>
              </w:rPr>
              <w:t>10</w:t>
            </w:r>
            <w:r w:rsidRPr="003861B9">
              <w:rPr>
                <w:rFonts w:eastAsia="Calibri"/>
                <w:lang w:eastAsia="en-US"/>
              </w:rPr>
              <w:t xml:space="preserve"> gadā.</w:t>
            </w:r>
          </w:p>
        </w:tc>
        <w:tc>
          <w:tcPr>
            <w:tcW w:w="2126" w:type="dxa"/>
            <w:shd w:val="clear" w:color="auto" w:fill="auto"/>
            <w:noWrap/>
          </w:tcPr>
          <w:p w:rsidR="00673678" w:rsidRPr="003861B9" w:rsidRDefault="00673678" w:rsidP="004662F5">
            <w:pPr>
              <w:rPr>
                <w:rFonts w:eastAsia="Calibri"/>
                <w:lang w:eastAsia="en-US"/>
              </w:rPr>
            </w:pPr>
            <w:r w:rsidRPr="003861B9">
              <w:rPr>
                <w:rFonts w:eastAsia="Calibri"/>
                <w:lang w:eastAsia="en-US"/>
              </w:rPr>
              <w:t>Departaments</w:t>
            </w:r>
          </w:p>
        </w:tc>
        <w:tc>
          <w:tcPr>
            <w:tcW w:w="1373" w:type="dxa"/>
            <w:shd w:val="clear" w:color="auto" w:fill="auto"/>
            <w:noWrap/>
          </w:tcPr>
          <w:p w:rsidR="00673678" w:rsidRPr="003861B9" w:rsidRDefault="00673678" w:rsidP="00673678">
            <w:pPr>
              <w:spacing w:line="259" w:lineRule="auto"/>
              <w:rPr>
                <w:rFonts w:eastAsia="Calibri"/>
                <w:lang w:eastAsia="en-US"/>
              </w:rPr>
            </w:pPr>
            <w:r w:rsidRPr="003861B9">
              <w:rPr>
                <w:rFonts w:eastAsia="Calibri"/>
                <w:lang w:eastAsia="en-US"/>
              </w:rPr>
              <w:t xml:space="preserve">Ne retāk kā 1 reizi </w:t>
            </w:r>
            <w:r w:rsidR="006D4548" w:rsidRPr="003861B9">
              <w:rPr>
                <w:rFonts w:eastAsia="Calibri"/>
                <w:lang w:eastAsia="en-US"/>
              </w:rPr>
              <w:t>gadā</w:t>
            </w:r>
          </w:p>
          <w:p w:rsidR="00673678" w:rsidRPr="003861B9" w:rsidRDefault="00673678" w:rsidP="00FB51A4">
            <w:pPr>
              <w:rPr>
                <w:rFonts w:eastAsia="Calibri"/>
                <w:lang w:eastAsia="en-US"/>
              </w:rPr>
            </w:pPr>
          </w:p>
        </w:tc>
      </w:tr>
      <w:tr w:rsidR="00FB51A4" w:rsidRPr="009A5E6B" w:rsidTr="0093064D">
        <w:trPr>
          <w:cantSplit/>
          <w:trHeight w:val="4617"/>
        </w:trPr>
        <w:tc>
          <w:tcPr>
            <w:tcW w:w="675" w:type="dxa"/>
            <w:tcBorders>
              <w:right w:val="single" w:sz="4" w:space="0" w:color="auto"/>
            </w:tcBorders>
            <w:shd w:val="clear" w:color="auto" w:fill="95B3D7" w:themeFill="accent1" w:themeFillTint="99"/>
            <w:noWrap/>
            <w:vAlign w:val="center"/>
          </w:tcPr>
          <w:p w:rsidR="00FB51A4" w:rsidRPr="003861B9" w:rsidRDefault="003648AC" w:rsidP="00FB51A4">
            <w:r w:rsidRPr="003861B9">
              <w:lastRenderedPageBreak/>
              <w:t>3</w:t>
            </w:r>
            <w:r w:rsidR="00FB51A4" w:rsidRPr="003861B9">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FB51A4" w:rsidRPr="003861B9" w:rsidRDefault="00FB51A4" w:rsidP="00FB51A4"/>
          <w:p w:rsidR="00FB51A4" w:rsidRPr="003861B9" w:rsidRDefault="00FB51A4" w:rsidP="00FB51A4">
            <w:r w:rsidRPr="003861B9">
              <w:rPr>
                <w:rFonts w:eastAsia="Calibri"/>
                <w:b/>
                <w:lang w:eastAsia="en-US"/>
              </w:rPr>
              <w:t>Maksas pakalpojumu sniegšanas nodrošināšana</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rsidR="00FB51A4" w:rsidRPr="003861B9" w:rsidRDefault="00FB51A4" w:rsidP="00FB51A4"/>
          <w:p w:rsidR="00BC3604" w:rsidRPr="003861B9" w:rsidRDefault="00BC3604" w:rsidP="00BC3604">
            <w:pPr>
              <w:jc w:val="both"/>
              <w:rPr>
                <w:rFonts w:eastAsia="Calibri"/>
                <w:lang w:eastAsia="en-US"/>
              </w:rPr>
            </w:pPr>
            <w:r w:rsidRPr="003861B9">
              <w:rPr>
                <w:rFonts w:eastAsia="Calibri"/>
                <w:b/>
                <w:lang w:eastAsia="en-US"/>
              </w:rPr>
              <w:t>Neatļauta rīcība ar iestādes mantu vai tai glabāšanā vai lietošanā nodotu trešo personu mantu vai finanšu līdzekļiem -</w:t>
            </w:r>
            <w:r w:rsidRPr="003861B9">
              <w:rPr>
                <w:rFonts w:eastAsia="Calibri"/>
                <w:lang w:eastAsia="en-US"/>
              </w:rPr>
              <w:t xml:space="preserve"> iespējama pašvaldības resursu izmantošana savtīgos nolūkos; lobēšanas iespējas un subjektīvi piemērota maksas iekasēšana par pakalpojumu; prettiesiska labuma pieprasīšana un pieņemšana par maksas nepiemērošanu.</w:t>
            </w:r>
          </w:p>
          <w:p w:rsidR="00BC3604" w:rsidRPr="003861B9" w:rsidRDefault="00BC3604" w:rsidP="00BC3604">
            <w:pPr>
              <w:jc w:val="both"/>
              <w:rPr>
                <w:rFonts w:eastAsia="Calibri"/>
                <w:lang w:eastAsia="en-US"/>
              </w:rPr>
            </w:pPr>
          </w:p>
          <w:p w:rsidR="00FB51A4" w:rsidRPr="003861B9" w:rsidRDefault="00FB51A4" w:rsidP="00FB51A4"/>
        </w:tc>
        <w:tc>
          <w:tcPr>
            <w:tcW w:w="567" w:type="dxa"/>
            <w:tcBorders>
              <w:left w:val="single" w:sz="4" w:space="0" w:color="auto"/>
            </w:tcBorders>
            <w:shd w:val="clear" w:color="auto" w:fill="auto"/>
            <w:noWrap/>
          </w:tcPr>
          <w:p w:rsidR="00FB51A4" w:rsidRPr="003861B9" w:rsidRDefault="00FB51A4" w:rsidP="00FB51A4"/>
          <w:p w:rsidR="00FB51A4" w:rsidRPr="003861B9" w:rsidRDefault="00FB51A4" w:rsidP="00FB51A4">
            <w:r w:rsidRPr="003861B9">
              <w:t>V</w:t>
            </w:r>
          </w:p>
        </w:tc>
        <w:tc>
          <w:tcPr>
            <w:tcW w:w="3685" w:type="dxa"/>
            <w:shd w:val="clear" w:color="auto" w:fill="auto"/>
            <w:noWrap/>
          </w:tcPr>
          <w:p w:rsidR="00FB51A4" w:rsidRPr="003861B9" w:rsidRDefault="00FB51A4" w:rsidP="00FB51A4"/>
          <w:p w:rsidR="00FB51A4" w:rsidRPr="003861B9" w:rsidRDefault="003648AC" w:rsidP="00FB51A4">
            <w:pPr>
              <w:jc w:val="both"/>
            </w:pPr>
            <w:r w:rsidRPr="003861B9">
              <w:rPr>
                <w:rFonts w:eastAsia="Calibri"/>
                <w:lang w:eastAsia="en-US"/>
              </w:rPr>
              <w:t>Izlases kārtībā veikt kontrolpārbaudes telpu vai inventāra izmantošanai un maksas iekasēšanas atbilstībai Rīgas domes lēmumā noteiktajam attiecībā uz vienreizējiem telpu (inventāra)  lietošanas līgumiem, k</w:t>
            </w:r>
            <w:r w:rsidR="00190DEF" w:rsidRPr="003861B9">
              <w:rPr>
                <w:rFonts w:eastAsia="Calibri"/>
                <w:lang w:eastAsia="en-US"/>
              </w:rPr>
              <w:t>uri</w:t>
            </w:r>
            <w:r w:rsidRPr="003861B9">
              <w:rPr>
                <w:rFonts w:eastAsia="Calibri"/>
                <w:lang w:eastAsia="en-US"/>
              </w:rPr>
              <w:t xml:space="preserve"> netiek saskaņoti Departamentā, par veikto pārbaudi </w:t>
            </w:r>
            <w:r w:rsidRPr="003861B9">
              <w:rPr>
                <w:rFonts w:eastAsia="Calibri"/>
                <w:u w:val="single"/>
                <w:lang w:eastAsia="en-US"/>
              </w:rPr>
              <w:t>sastādot pārbaudes aktu.</w:t>
            </w:r>
          </w:p>
        </w:tc>
        <w:tc>
          <w:tcPr>
            <w:tcW w:w="1843" w:type="dxa"/>
          </w:tcPr>
          <w:p w:rsidR="00FB51A4" w:rsidRPr="003861B9" w:rsidRDefault="00FB51A4" w:rsidP="00FB51A4">
            <w:pPr>
              <w:rPr>
                <w:rFonts w:eastAsia="Calibri"/>
                <w:lang w:eastAsia="en-US"/>
              </w:rPr>
            </w:pPr>
          </w:p>
          <w:p w:rsidR="00FB51A4" w:rsidRPr="003861B9" w:rsidRDefault="00F81D7E" w:rsidP="00FB51A4">
            <w:r w:rsidRPr="003861B9">
              <w:t>N</w:t>
            </w:r>
            <w:r w:rsidR="00FB51A4" w:rsidRPr="003861B9">
              <w:t xml:space="preserve">eatbilstoši noslēgto  </w:t>
            </w:r>
            <w:r w:rsidRPr="003861B9">
              <w:t xml:space="preserve">telpu (inventāra) </w:t>
            </w:r>
            <w:r w:rsidR="00FB51A4" w:rsidRPr="003861B9">
              <w:t xml:space="preserve">līgumu skaits </w:t>
            </w:r>
            <w:r w:rsidR="00BC3604" w:rsidRPr="003861B9">
              <w:t>nepārsniedz</w:t>
            </w:r>
            <w:r w:rsidR="00FB51A4" w:rsidRPr="003861B9">
              <w:t xml:space="preserve"> </w:t>
            </w:r>
            <w:r w:rsidRPr="003861B9">
              <w:t>2</w:t>
            </w:r>
            <w:r w:rsidR="00BC3604" w:rsidRPr="003861B9">
              <w:t xml:space="preserve"> gadījumu</w:t>
            </w:r>
            <w:r w:rsidRPr="003861B9">
              <w:t>s</w:t>
            </w:r>
            <w:r w:rsidR="00FB51A4" w:rsidRPr="003861B9">
              <w:t xml:space="preserve">  gadā.   </w:t>
            </w:r>
          </w:p>
        </w:tc>
        <w:tc>
          <w:tcPr>
            <w:tcW w:w="2126" w:type="dxa"/>
            <w:shd w:val="clear" w:color="auto" w:fill="auto"/>
            <w:noWrap/>
          </w:tcPr>
          <w:p w:rsidR="00FB51A4" w:rsidRPr="003861B9" w:rsidRDefault="00FB51A4" w:rsidP="00FB51A4">
            <w:pPr>
              <w:rPr>
                <w:rFonts w:eastAsia="Calibri"/>
                <w:lang w:eastAsia="en-US"/>
              </w:rPr>
            </w:pPr>
          </w:p>
          <w:p w:rsidR="00FB51A4" w:rsidRPr="003861B9" w:rsidRDefault="00BC3604" w:rsidP="00FB51A4">
            <w:r w:rsidRPr="003861B9">
              <w:rPr>
                <w:rFonts w:eastAsia="Calibri"/>
                <w:lang w:eastAsia="en-US"/>
              </w:rPr>
              <w:t>Direktor</w:t>
            </w:r>
            <w:r w:rsidR="007628C9">
              <w:rPr>
                <w:rFonts w:eastAsia="Calibri"/>
                <w:lang w:eastAsia="en-US"/>
              </w:rPr>
              <w:t xml:space="preserve">e K.Pauniņa, </w:t>
            </w:r>
            <w:r w:rsidRPr="003861B9">
              <w:rPr>
                <w:rFonts w:eastAsia="Calibri"/>
                <w:lang w:eastAsia="en-US"/>
              </w:rPr>
              <w:t xml:space="preserve"> Direktora vietnie</w:t>
            </w:r>
            <w:r w:rsidR="007628C9">
              <w:rPr>
                <w:rFonts w:eastAsia="Calibri"/>
                <w:lang w:eastAsia="en-US"/>
              </w:rPr>
              <w:t>ce G.Malicka</w:t>
            </w:r>
          </w:p>
        </w:tc>
        <w:tc>
          <w:tcPr>
            <w:tcW w:w="1373" w:type="dxa"/>
            <w:shd w:val="clear" w:color="auto" w:fill="auto"/>
            <w:noWrap/>
          </w:tcPr>
          <w:p w:rsidR="00FB51A4" w:rsidRPr="003861B9" w:rsidRDefault="00FB51A4" w:rsidP="00FB51A4"/>
          <w:p w:rsidR="00FB51A4" w:rsidRPr="003861B9" w:rsidRDefault="004E3C48" w:rsidP="00FB51A4">
            <w:r w:rsidRPr="003861B9">
              <w:t xml:space="preserve">Ne retāk 1 reizi </w:t>
            </w:r>
            <w:r w:rsidR="003648AC" w:rsidRPr="003861B9">
              <w:t>ceturksnī</w:t>
            </w:r>
          </w:p>
          <w:p w:rsidR="00FB51A4" w:rsidRPr="003861B9" w:rsidRDefault="00FB51A4" w:rsidP="00FB51A4"/>
          <w:p w:rsidR="00FB51A4" w:rsidRPr="003861B9" w:rsidRDefault="00FB51A4" w:rsidP="00FB51A4"/>
          <w:p w:rsidR="00FB51A4" w:rsidRPr="003861B9" w:rsidRDefault="00FB51A4" w:rsidP="00FB51A4"/>
          <w:p w:rsidR="00FB51A4" w:rsidRPr="003861B9" w:rsidRDefault="00FB51A4" w:rsidP="00FB51A4"/>
          <w:p w:rsidR="00FB51A4" w:rsidRPr="003861B9" w:rsidRDefault="00FB51A4" w:rsidP="00FB51A4"/>
          <w:p w:rsidR="00FB51A4" w:rsidRPr="003861B9" w:rsidRDefault="00FB51A4" w:rsidP="00FB51A4"/>
          <w:p w:rsidR="00FB51A4" w:rsidRPr="003861B9" w:rsidRDefault="00FB51A4" w:rsidP="00FB51A4"/>
        </w:tc>
      </w:tr>
    </w:tbl>
    <w:p w:rsidR="009F3FDE" w:rsidRDefault="009F3FDE"/>
    <w:tbl>
      <w:tblPr>
        <w:tblpPr w:leftFromText="180" w:rightFromText="180" w:vertAnchor="text" w:horzAnchor="margin" w:tblpY="17"/>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01"/>
        <w:gridCol w:w="3119"/>
        <w:gridCol w:w="567"/>
        <w:gridCol w:w="3685"/>
        <w:gridCol w:w="1843"/>
        <w:gridCol w:w="1985"/>
        <w:gridCol w:w="1417"/>
      </w:tblGrid>
      <w:tr w:rsidR="00563567" w:rsidRPr="00C449DF" w:rsidTr="00137216">
        <w:trPr>
          <w:cantSplit/>
          <w:trHeight w:val="2970"/>
        </w:trPr>
        <w:tc>
          <w:tcPr>
            <w:tcW w:w="675" w:type="dxa"/>
            <w:tcBorders>
              <w:right w:val="single" w:sz="4" w:space="0" w:color="auto"/>
            </w:tcBorders>
            <w:shd w:val="clear" w:color="auto" w:fill="95B3D7"/>
            <w:noWrap/>
            <w:vAlign w:val="center"/>
          </w:tcPr>
          <w:p w:rsidR="00563567" w:rsidRPr="00E16207" w:rsidRDefault="00A0790B" w:rsidP="005137E3">
            <w:pPr>
              <w:ind w:left="-82" w:firstLine="82"/>
            </w:pPr>
            <w:r w:rsidRPr="00E16207">
              <w:t>4</w:t>
            </w:r>
            <w:r w:rsidR="00563567" w:rsidRPr="00E16207">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563567" w:rsidRPr="00E16207" w:rsidRDefault="00563567" w:rsidP="005137E3">
            <w:pPr>
              <w:ind w:left="-82" w:firstLine="82"/>
              <w:jc w:val="both"/>
            </w:pPr>
          </w:p>
          <w:p w:rsidR="00563567" w:rsidRPr="00E16207" w:rsidRDefault="009C7871" w:rsidP="005137E3">
            <w:pPr>
              <w:ind w:left="-82"/>
              <w:jc w:val="both"/>
            </w:pPr>
            <w:r w:rsidRPr="00E16207">
              <w:rPr>
                <w:rFonts w:eastAsia="Calibri"/>
                <w:b/>
                <w:lang w:eastAsia="en-US"/>
              </w:rPr>
              <w:t>Izglītojamo uzņemšana, pārcelšana un atskaitīšana</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563567" w:rsidRPr="00E16207" w:rsidRDefault="00563567" w:rsidP="005137E3">
            <w:pPr>
              <w:ind w:left="-82" w:firstLine="82"/>
              <w:jc w:val="both"/>
            </w:pPr>
          </w:p>
          <w:p w:rsidR="00563567" w:rsidRPr="00E16207" w:rsidRDefault="004E3C48" w:rsidP="005137E3">
            <w:pPr>
              <w:ind w:left="-82"/>
              <w:jc w:val="both"/>
            </w:pPr>
            <w:r w:rsidRPr="00E16207">
              <w:rPr>
                <w:rFonts w:eastAsia="Calibri"/>
                <w:b/>
                <w:lang w:eastAsia="en-US"/>
              </w:rPr>
              <w:t>Ļaunprātīga dienesta stāvokļa izmantošana</w:t>
            </w:r>
            <w:r w:rsidRPr="00E16207">
              <w:rPr>
                <w:rFonts w:eastAsia="Calibri"/>
                <w:lang w:eastAsia="en-US"/>
              </w:rPr>
              <w:t xml:space="preserve">  - izglītojamo uzņemšana Rīgas pilsētas pašvaldības pirmsskolā vai skolā tiek veikta, pārkāpjot normatīvajos aktos noteikto kārtību un prettiesiska labuma pieprasīšana un pieņemšana.</w:t>
            </w:r>
          </w:p>
        </w:tc>
        <w:tc>
          <w:tcPr>
            <w:tcW w:w="567" w:type="dxa"/>
            <w:tcBorders>
              <w:left w:val="single" w:sz="4" w:space="0" w:color="auto"/>
              <w:bottom w:val="single" w:sz="4" w:space="0" w:color="auto"/>
            </w:tcBorders>
            <w:shd w:val="clear" w:color="auto" w:fill="auto"/>
            <w:noWrap/>
          </w:tcPr>
          <w:p w:rsidR="00563567" w:rsidRPr="00E16207" w:rsidRDefault="00563567" w:rsidP="005137E3">
            <w:pPr>
              <w:ind w:left="-82" w:firstLine="82"/>
              <w:jc w:val="both"/>
            </w:pPr>
          </w:p>
          <w:p w:rsidR="00563567" w:rsidRPr="00E16207" w:rsidRDefault="00563567" w:rsidP="005137E3">
            <w:pPr>
              <w:ind w:left="-82" w:firstLine="82"/>
              <w:jc w:val="both"/>
            </w:pPr>
            <w:r w:rsidRPr="00E16207">
              <w:t>V</w:t>
            </w:r>
          </w:p>
        </w:tc>
        <w:tc>
          <w:tcPr>
            <w:tcW w:w="3685" w:type="dxa"/>
            <w:tcBorders>
              <w:bottom w:val="single" w:sz="4" w:space="0" w:color="auto"/>
            </w:tcBorders>
            <w:shd w:val="clear" w:color="auto" w:fill="auto"/>
            <w:noWrap/>
          </w:tcPr>
          <w:p w:rsidR="00563567" w:rsidRPr="00E16207" w:rsidRDefault="00563567" w:rsidP="005137E3">
            <w:pPr>
              <w:ind w:left="-82" w:firstLine="82"/>
              <w:jc w:val="both"/>
            </w:pPr>
          </w:p>
          <w:p w:rsidR="004E3C48" w:rsidRPr="00E16207" w:rsidRDefault="004E3C48" w:rsidP="004E3C48">
            <w:pPr>
              <w:spacing w:line="259" w:lineRule="auto"/>
              <w:rPr>
                <w:rFonts w:eastAsia="Calibri"/>
                <w:lang w:eastAsia="en-US"/>
              </w:rPr>
            </w:pPr>
            <w:r w:rsidRPr="00E16207">
              <w:rPr>
                <w:rFonts w:eastAsia="Calibri"/>
                <w:lang w:eastAsia="en-US"/>
              </w:rPr>
              <w:t xml:space="preserve">Pārbaudes veic Departaments saskaņā </w:t>
            </w:r>
            <w:r w:rsidR="007D1C5D" w:rsidRPr="00E16207">
              <w:rPr>
                <w:rFonts w:eastAsia="Calibri"/>
                <w:lang w:eastAsia="en-US"/>
              </w:rPr>
              <w:t xml:space="preserve">ar </w:t>
            </w:r>
            <w:r w:rsidR="00137216" w:rsidRPr="00E16207">
              <w:rPr>
                <w:rFonts w:eastAsia="Calibri"/>
                <w:lang w:eastAsia="en-US"/>
              </w:rPr>
              <w:t>apstiprināto</w:t>
            </w:r>
            <w:r w:rsidRPr="00E16207">
              <w:rPr>
                <w:rFonts w:eastAsia="Calibri"/>
                <w:lang w:eastAsia="en-US"/>
              </w:rPr>
              <w:t xml:space="preserve"> pārbaužu plānu.</w:t>
            </w:r>
          </w:p>
          <w:p w:rsidR="00563567" w:rsidRPr="00E16207" w:rsidRDefault="00563567" w:rsidP="00661534">
            <w:pPr>
              <w:ind w:left="-82"/>
              <w:jc w:val="both"/>
            </w:pPr>
          </w:p>
        </w:tc>
        <w:tc>
          <w:tcPr>
            <w:tcW w:w="1843" w:type="dxa"/>
            <w:tcBorders>
              <w:bottom w:val="single" w:sz="4" w:space="0" w:color="auto"/>
            </w:tcBorders>
          </w:tcPr>
          <w:p w:rsidR="00563567" w:rsidRPr="00E16207" w:rsidRDefault="00563567" w:rsidP="005137E3">
            <w:pPr>
              <w:ind w:left="-82" w:firstLine="82"/>
              <w:jc w:val="both"/>
            </w:pPr>
          </w:p>
          <w:p w:rsidR="00563567" w:rsidRPr="00E16207" w:rsidRDefault="00563567" w:rsidP="005137E3">
            <w:pPr>
              <w:ind w:left="-82"/>
              <w:jc w:val="both"/>
            </w:pPr>
            <w:r w:rsidRPr="00E16207">
              <w:t xml:space="preserve">Konstatēto pārkāpumu skaits attiecībā uz izglītojamo uzņemšanu </w:t>
            </w:r>
            <w:r w:rsidR="00137216" w:rsidRPr="00E16207">
              <w:t xml:space="preserve">Departamenta pārbaudēs vai </w:t>
            </w:r>
            <w:r w:rsidRPr="00E16207">
              <w:t xml:space="preserve">Izglītības kvalitātes valsts dienesta (turpmāk - </w:t>
            </w:r>
            <w:r w:rsidRPr="00E16207">
              <w:lastRenderedPageBreak/>
              <w:t xml:space="preserve">IKVD) aktos  nepārsniedz </w:t>
            </w:r>
            <w:r w:rsidR="00137216" w:rsidRPr="00E16207">
              <w:t>2</w:t>
            </w:r>
            <w:r w:rsidRPr="00E16207">
              <w:t xml:space="preserve"> gadījumu</w:t>
            </w:r>
            <w:r w:rsidR="004E3C48" w:rsidRPr="00E16207">
              <w:t>s</w:t>
            </w:r>
            <w:r w:rsidRPr="00E16207">
              <w:t xml:space="preserve"> gadā.</w:t>
            </w:r>
          </w:p>
          <w:p w:rsidR="00661534" w:rsidRPr="00E16207" w:rsidRDefault="00661534" w:rsidP="005137E3">
            <w:pPr>
              <w:ind w:left="-82"/>
              <w:jc w:val="both"/>
            </w:pPr>
          </w:p>
          <w:p w:rsidR="00661534" w:rsidRPr="00E16207" w:rsidRDefault="00661534" w:rsidP="004E3C48">
            <w:pPr>
              <w:ind w:left="-82"/>
              <w:jc w:val="both"/>
            </w:pPr>
          </w:p>
        </w:tc>
        <w:tc>
          <w:tcPr>
            <w:tcW w:w="1985" w:type="dxa"/>
            <w:tcBorders>
              <w:bottom w:val="single" w:sz="4" w:space="0" w:color="auto"/>
            </w:tcBorders>
            <w:shd w:val="clear" w:color="auto" w:fill="auto"/>
            <w:noWrap/>
          </w:tcPr>
          <w:p w:rsidR="00563567" w:rsidRPr="00E16207" w:rsidRDefault="00563567" w:rsidP="005137E3">
            <w:pPr>
              <w:ind w:left="-82" w:firstLine="82"/>
              <w:jc w:val="both"/>
            </w:pPr>
          </w:p>
          <w:p w:rsidR="00563567" w:rsidRPr="00E16207" w:rsidRDefault="004E3C48" w:rsidP="00661534">
            <w:pPr>
              <w:ind w:left="-82" w:firstLine="82"/>
              <w:jc w:val="both"/>
            </w:pPr>
            <w:r w:rsidRPr="00E16207">
              <w:rPr>
                <w:rFonts w:eastAsia="Calibri"/>
                <w:lang w:eastAsia="en-US"/>
              </w:rPr>
              <w:t>Departaments</w:t>
            </w:r>
            <w:r w:rsidR="00661534" w:rsidRPr="00E16207">
              <w:rPr>
                <w:rFonts w:eastAsia="Calibri"/>
                <w:lang w:eastAsia="en-US"/>
              </w:rPr>
              <w:t xml:space="preserve"> </w:t>
            </w:r>
          </w:p>
        </w:tc>
        <w:tc>
          <w:tcPr>
            <w:tcW w:w="1417" w:type="dxa"/>
            <w:tcBorders>
              <w:bottom w:val="single" w:sz="4" w:space="0" w:color="auto"/>
            </w:tcBorders>
            <w:shd w:val="clear" w:color="auto" w:fill="auto"/>
            <w:noWrap/>
          </w:tcPr>
          <w:p w:rsidR="00563567" w:rsidRPr="00E16207" w:rsidRDefault="00563567" w:rsidP="005137E3">
            <w:pPr>
              <w:ind w:left="-82" w:firstLine="82"/>
            </w:pPr>
          </w:p>
          <w:p w:rsidR="00563567" w:rsidRPr="00E16207" w:rsidRDefault="00563567" w:rsidP="005137E3">
            <w:pPr>
              <w:jc w:val="both"/>
            </w:pPr>
            <w:r w:rsidRPr="00E16207">
              <w:t>Katru gadu līdz 31.12.</w:t>
            </w:r>
          </w:p>
          <w:p w:rsidR="00661534" w:rsidRPr="00E16207" w:rsidRDefault="00661534" w:rsidP="005137E3">
            <w:pPr>
              <w:jc w:val="both"/>
            </w:pPr>
          </w:p>
          <w:p w:rsidR="00661534" w:rsidRPr="00E16207" w:rsidRDefault="00661534" w:rsidP="005137E3">
            <w:pPr>
              <w:jc w:val="both"/>
            </w:pPr>
          </w:p>
          <w:p w:rsidR="00661534" w:rsidRPr="00E16207" w:rsidRDefault="00661534" w:rsidP="005137E3">
            <w:pPr>
              <w:jc w:val="both"/>
            </w:pPr>
          </w:p>
          <w:p w:rsidR="00661534" w:rsidRPr="00E16207" w:rsidRDefault="00661534" w:rsidP="005137E3">
            <w:pPr>
              <w:jc w:val="both"/>
            </w:pPr>
          </w:p>
          <w:p w:rsidR="00661534" w:rsidRPr="00E16207" w:rsidRDefault="00661534" w:rsidP="005137E3">
            <w:pPr>
              <w:jc w:val="both"/>
            </w:pPr>
          </w:p>
          <w:p w:rsidR="00661534" w:rsidRPr="00E16207" w:rsidRDefault="00661534" w:rsidP="005137E3">
            <w:pPr>
              <w:jc w:val="both"/>
            </w:pPr>
          </w:p>
          <w:p w:rsidR="00661534" w:rsidRPr="00E16207" w:rsidRDefault="00661534" w:rsidP="005137E3">
            <w:pPr>
              <w:jc w:val="both"/>
            </w:pPr>
          </w:p>
          <w:p w:rsidR="00661534" w:rsidRPr="00E16207" w:rsidRDefault="00661534" w:rsidP="005137E3">
            <w:pPr>
              <w:jc w:val="both"/>
            </w:pPr>
          </w:p>
          <w:p w:rsidR="00661534" w:rsidRPr="00E16207" w:rsidRDefault="00661534" w:rsidP="005137E3">
            <w:pPr>
              <w:jc w:val="both"/>
            </w:pPr>
            <w:r w:rsidRPr="00E16207">
              <w:t>.</w:t>
            </w:r>
          </w:p>
        </w:tc>
      </w:tr>
    </w:tbl>
    <w:p w:rsidR="00563567" w:rsidRDefault="00563567"/>
    <w:p w:rsidR="00563567" w:rsidRDefault="00563567"/>
    <w:p w:rsidR="00563567" w:rsidRDefault="00563567"/>
    <w:tbl>
      <w:tblPr>
        <w:tblpPr w:leftFromText="180" w:rightFromText="180" w:vertAnchor="text" w:horzAnchor="margin" w:tblpY="17"/>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01"/>
        <w:gridCol w:w="3119"/>
        <w:gridCol w:w="567"/>
        <w:gridCol w:w="3685"/>
        <w:gridCol w:w="1843"/>
        <w:gridCol w:w="1985"/>
        <w:gridCol w:w="1417"/>
      </w:tblGrid>
      <w:tr w:rsidR="00215D83" w:rsidRPr="00C449DF" w:rsidTr="00732054">
        <w:trPr>
          <w:cantSplit/>
          <w:trHeight w:val="2970"/>
        </w:trPr>
        <w:tc>
          <w:tcPr>
            <w:tcW w:w="675" w:type="dxa"/>
            <w:tcBorders>
              <w:right w:val="single" w:sz="4" w:space="0" w:color="auto"/>
            </w:tcBorders>
            <w:shd w:val="clear" w:color="auto" w:fill="95B3D7"/>
            <w:noWrap/>
            <w:vAlign w:val="center"/>
          </w:tcPr>
          <w:p w:rsidR="00215D83" w:rsidRPr="00E16207" w:rsidRDefault="00A0790B" w:rsidP="002E637D">
            <w:pPr>
              <w:ind w:left="-82" w:firstLine="82"/>
            </w:pPr>
            <w:bookmarkStart w:id="0" w:name="_Hlk523136618"/>
            <w:r w:rsidRPr="00E16207">
              <w:t>5</w:t>
            </w:r>
            <w:r w:rsidR="00215D83" w:rsidRPr="00E16207">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215D83" w:rsidRPr="00E16207" w:rsidRDefault="00215D83" w:rsidP="002E637D">
            <w:pPr>
              <w:ind w:left="-82" w:firstLine="82"/>
              <w:jc w:val="both"/>
            </w:pPr>
          </w:p>
          <w:p w:rsidR="00215D83" w:rsidRPr="00E16207" w:rsidRDefault="009C7871" w:rsidP="002E637D">
            <w:pPr>
              <w:ind w:left="-82"/>
              <w:jc w:val="both"/>
            </w:pPr>
            <w:r w:rsidRPr="00E16207">
              <w:rPr>
                <w:rFonts w:eastAsia="Calibri"/>
                <w:b/>
                <w:lang w:eastAsia="en-US"/>
              </w:rPr>
              <w:t>Izglītojamo drošības un veselības aizsardzības nodrošināšana</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215D83" w:rsidRPr="00E16207" w:rsidRDefault="00215D83" w:rsidP="002E637D">
            <w:pPr>
              <w:ind w:left="-82" w:firstLine="82"/>
              <w:jc w:val="both"/>
            </w:pPr>
          </w:p>
          <w:p w:rsidR="009C7871" w:rsidRPr="00E16207" w:rsidRDefault="009C7871" w:rsidP="009C7871">
            <w:pPr>
              <w:jc w:val="both"/>
              <w:rPr>
                <w:rFonts w:eastAsia="Calibri"/>
                <w:lang w:eastAsia="en-US"/>
              </w:rPr>
            </w:pPr>
            <w:r w:rsidRPr="00E16207">
              <w:rPr>
                <w:rFonts w:eastAsia="Calibri"/>
                <w:b/>
                <w:lang w:eastAsia="en-US"/>
              </w:rPr>
              <w:t>Darbiniekam noteikto pienākumu apzināta neveikšana vai nolaidīga veikšana savās vai citas personas interesēs</w:t>
            </w:r>
            <w:r w:rsidRPr="00E16207">
              <w:rPr>
                <w:rFonts w:eastAsia="Calibri"/>
                <w:lang w:eastAsia="en-US"/>
              </w:rPr>
              <w:t xml:space="preserve"> -  vispārējās izglītības iestādēs netiek nodrošināta izglītojamo drošība un veselības aizsardzība atbilstoši normatīvo aktu prasībām.</w:t>
            </w:r>
          </w:p>
          <w:p w:rsidR="00215D83" w:rsidRPr="00E16207" w:rsidRDefault="00215D83" w:rsidP="002E637D">
            <w:pPr>
              <w:ind w:left="-82"/>
              <w:jc w:val="both"/>
            </w:pPr>
          </w:p>
        </w:tc>
        <w:tc>
          <w:tcPr>
            <w:tcW w:w="567" w:type="dxa"/>
            <w:tcBorders>
              <w:left w:val="single" w:sz="4" w:space="0" w:color="auto"/>
              <w:bottom w:val="single" w:sz="4" w:space="0" w:color="auto"/>
            </w:tcBorders>
            <w:shd w:val="clear" w:color="auto" w:fill="auto"/>
            <w:noWrap/>
          </w:tcPr>
          <w:p w:rsidR="00215D83" w:rsidRPr="00E16207" w:rsidRDefault="00215D83" w:rsidP="002E637D">
            <w:pPr>
              <w:ind w:left="-82" w:firstLine="82"/>
              <w:jc w:val="both"/>
            </w:pPr>
          </w:p>
          <w:p w:rsidR="00215D83" w:rsidRPr="00E16207" w:rsidRDefault="008B6056" w:rsidP="002E637D">
            <w:pPr>
              <w:ind w:left="-82" w:firstLine="82"/>
              <w:jc w:val="both"/>
            </w:pPr>
            <w:r w:rsidRPr="00E16207">
              <w:t>V</w:t>
            </w:r>
          </w:p>
        </w:tc>
        <w:tc>
          <w:tcPr>
            <w:tcW w:w="3685" w:type="dxa"/>
            <w:tcBorders>
              <w:bottom w:val="single" w:sz="4" w:space="0" w:color="auto"/>
            </w:tcBorders>
            <w:shd w:val="clear" w:color="auto" w:fill="auto"/>
            <w:noWrap/>
          </w:tcPr>
          <w:p w:rsidR="00215D83" w:rsidRPr="00E16207" w:rsidRDefault="00215D83" w:rsidP="002E637D">
            <w:pPr>
              <w:ind w:left="-82" w:firstLine="82"/>
              <w:jc w:val="both"/>
            </w:pPr>
          </w:p>
          <w:p w:rsidR="00215D83" w:rsidRPr="00E16207" w:rsidRDefault="008B6056" w:rsidP="008B6056">
            <w:pPr>
              <w:ind w:left="-82"/>
              <w:jc w:val="both"/>
            </w:pPr>
            <w:r w:rsidRPr="00E16207">
              <w:rPr>
                <w:rFonts w:eastAsia="Calibri"/>
                <w:lang w:eastAsia="en-US"/>
              </w:rPr>
              <w:t>Veikt skolas apstiprināto iekšējo noteikumu prasību atbilstības salīdzināšanu ar Ministru kabineta noteikumos noteiktajām prasībām, un nepieciešamības gadījumā veikt skolas iekšējo noteikumu aktualizēšanu.</w:t>
            </w:r>
            <w:r w:rsidR="00806F72" w:rsidRPr="00E16207">
              <w:rPr>
                <w:rFonts w:eastAsia="Calibri"/>
                <w:lang w:eastAsia="en-US"/>
              </w:rPr>
              <w:t xml:space="preserve"> </w:t>
            </w:r>
          </w:p>
        </w:tc>
        <w:tc>
          <w:tcPr>
            <w:tcW w:w="1843" w:type="dxa"/>
            <w:tcBorders>
              <w:bottom w:val="single" w:sz="4" w:space="0" w:color="auto"/>
            </w:tcBorders>
          </w:tcPr>
          <w:p w:rsidR="009F3FDE" w:rsidRPr="00E16207" w:rsidRDefault="009F3FDE" w:rsidP="002E637D">
            <w:pPr>
              <w:ind w:left="-82" w:firstLine="82"/>
              <w:jc w:val="both"/>
            </w:pPr>
          </w:p>
          <w:p w:rsidR="00215D83" w:rsidRPr="00E16207" w:rsidRDefault="0020097E" w:rsidP="009F3FDE">
            <w:pPr>
              <w:ind w:left="-82"/>
              <w:jc w:val="both"/>
            </w:pPr>
            <w:r w:rsidRPr="00E16207">
              <w:t>Konstatēto pārkāpumu skaits</w:t>
            </w:r>
            <w:r w:rsidR="00871636" w:rsidRPr="00E16207">
              <w:t xml:space="preserve"> attiecībā uz izglītojamo drošību</w:t>
            </w:r>
            <w:r w:rsidR="00F86D44" w:rsidRPr="00E16207">
              <w:t xml:space="preserve"> Departamenta pārbaudēs un</w:t>
            </w:r>
            <w:r w:rsidR="00871636" w:rsidRPr="00E16207">
              <w:t xml:space="preserve"> </w:t>
            </w:r>
            <w:r w:rsidRPr="00E16207">
              <w:t xml:space="preserve"> </w:t>
            </w:r>
            <w:r w:rsidR="00C75DBE" w:rsidRPr="00E16207">
              <w:t xml:space="preserve"> </w:t>
            </w:r>
            <w:r w:rsidRPr="00E16207">
              <w:t xml:space="preserve">IKVD </w:t>
            </w:r>
            <w:r w:rsidR="00556E9E" w:rsidRPr="00E16207">
              <w:t>aktos</w:t>
            </w:r>
            <w:r w:rsidRPr="00E16207">
              <w:t xml:space="preserve">  </w:t>
            </w:r>
            <w:r w:rsidR="00F86D44" w:rsidRPr="00E16207">
              <w:t>nepārsniedz 1 gadījumu gadā</w:t>
            </w:r>
            <w:r w:rsidR="008B6056" w:rsidRPr="00E16207">
              <w:t>.</w:t>
            </w:r>
          </w:p>
        </w:tc>
        <w:tc>
          <w:tcPr>
            <w:tcW w:w="1985" w:type="dxa"/>
            <w:tcBorders>
              <w:bottom w:val="single" w:sz="4" w:space="0" w:color="auto"/>
            </w:tcBorders>
            <w:shd w:val="clear" w:color="auto" w:fill="auto"/>
            <w:noWrap/>
          </w:tcPr>
          <w:p w:rsidR="00215D83" w:rsidRPr="00E16207" w:rsidRDefault="00215D83" w:rsidP="002E637D">
            <w:pPr>
              <w:ind w:left="-82" w:firstLine="82"/>
              <w:jc w:val="both"/>
            </w:pPr>
          </w:p>
          <w:p w:rsidR="00215D83" w:rsidRPr="00E16207" w:rsidRDefault="007628C9" w:rsidP="007628C9">
            <w:pPr>
              <w:ind w:left="-82"/>
              <w:jc w:val="both"/>
            </w:pPr>
            <w:r w:rsidRPr="0093064D">
              <w:rPr>
                <w:rFonts w:eastAsia="Calibri"/>
                <w:lang w:eastAsia="en-US"/>
              </w:rPr>
              <w:t>Direktor</w:t>
            </w:r>
            <w:r>
              <w:rPr>
                <w:rFonts w:eastAsia="Calibri"/>
                <w:lang w:eastAsia="en-US"/>
              </w:rPr>
              <w:t>e K.Pauniņa</w:t>
            </w:r>
            <w:r w:rsidRPr="0093064D">
              <w:rPr>
                <w:rFonts w:eastAsia="Calibri"/>
                <w:lang w:eastAsia="en-US"/>
              </w:rPr>
              <w:t>, Direktora vietniek</w:t>
            </w:r>
            <w:r>
              <w:rPr>
                <w:rFonts w:eastAsia="Calibri"/>
                <w:lang w:eastAsia="en-US"/>
              </w:rPr>
              <w:t>i R.Nazarova, I.Čekstere</w:t>
            </w:r>
          </w:p>
        </w:tc>
        <w:tc>
          <w:tcPr>
            <w:tcW w:w="1417" w:type="dxa"/>
            <w:tcBorders>
              <w:bottom w:val="single" w:sz="4" w:space="0" w:color="auto"/>
            </w:tcBorders>
            <w:shd w:val="clear" w:color="auto" w:fill="auto"/>
            <w:noWrap/>
          </w:tcPr>
          <w:p w:rsidR="00215D83" w:rsidRPr="00E16207" w:rsidRDefault="00215D83" w:rsidP="002E637D">
            <w:pPr>
              <w:ind w:left="-82" w:firstLine="82"/>
            </w:pPr>
          </w:p>
          <w:p w:rsidR="008B6056" w:rsidRPr="00E16207" w:rsidRDefault="00732054" w:rsidP="008B6056">
            <w:pPr>
              <w:spacing w:line="259" w:lineRule="auto"/>
              <w:rPr>
                <w:rFonts w:eastAsia="Calibri"/>
                <w:lang w:eastAsia="en-US"/>
              </w:rPr>
            </w:pPr>
            <w:r w:rsidRPr="00E16207">
              <w:rPr>
                <w:rFonts w:eastAsia="Calibri"/>
                <w:lang w:eastAsia="en-US"/>
              </w:rPr>
              <w:t>Ne retāk 1 reizi gadā</w:t>
            </w:r>
          </w:p>
          <w:p w:rsidR="00215D83" w:rsidRPr="00E16207" w:rsidRDefault="00215D83" w:rsidP="00E3076C">
            <w:pPr>
              <w:jc w:val="both"/>
            </w:pPr>
          </w:p>
        </w:tc>
      </w:tr>
      <w:bookmarkEnd w:id="0"/>
    </w:tbl>
    <w:p w:rsidR="008B52C7" w:rsidRDefault="008B52C7" w:rsidP="009F0C00"/>
    <w:p w:rsidR="00087A5D" w:rsidRDefault="00087A5D" w:rsidP="009F0C00"/>
    <w:tbl>
      <w:tblPr>
        <w:tblpPr w:leftFromText="180" w:rightFromText="180" w:vertAnchor="text" w:horzAnchor="margin" w:tblpY="17"/>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01"/>
        <w:gridCol w:w="3119"/>
        <w:gridCol w:w="567"/>
        <w:gridCol w:w="3260"/>
        <w:gridCol w:w="2268"/>
        <w:gridCol w:w="1985"/>
        <w:gridCol w:w="1417"/>
      </w:tblGrid>
      <w:tr w:rsidR="00215D83" w:rsidRPr="00C449DF" w:rsidTr="00E16207">
        <w:trPr>
          <w:cantSplit/>
          <w:trHeight w:val="2397"/>
        </w:trPr>
        <w:tc>
          <w:tcPr>
            <w:tcW w:w="675" w:type="dxa"/>
            <w:tcBorders>
              <w:right w:val="single" w:sz="4" w:space="0" w:color="auto"/>
            </w:tcBorders>
            <w:shd w:val="clear" w:color="auto" w:fill="95B3D7"/>
            <w:noWrap/>
            <w:vAlign w:val="center"/>
          </w:tcPr>
          <w:p w:rsidR="00215D83" w:rsidRPr="00E16207" w:rsidRDefault="00A0790B" w:rsidP="002E637D">
            <w:pPr>
              <w:ind w:left="-82" w:firstLine="82"/>
            </w:pPr>
            <w:r w:rsidRPr="00E16207">
              <w:lastRenderedPageBreak/>
              <w:t>6</w:t>
            </w:r>
            <w:r w:rsidR="00215D83" w:rsidRPr="00E16207">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215D83" w:rsidRPr="00E16207" w:rsidRDefault="00215D83" w:rsidP="002E637D">
            <w:pPr>
              <w:ind w:left="-82" w:firstLine="82"/>
              <w:jc w:val="both"/>
            </w:pPr>
          </w:p>
          <w:p w:rsidR="00215D83" w:rsidRPr="00E16207" w:rsidRDefault="00A77146" w:rsidP="002E637D">
            <w:pPr>
              <w:ind w:left="-82"/>
              <w:jc w:val="both"/>
            </w:pPr>
            <w:r w:rsidRPr="00E16207">
              <w:rPr>
                <w:rFonts w:eastAsia="Calibri"/>
                <w:b/>
                <w:lang w:eastAsia="en-US"/>
              </w:rPr>
              <w:t>Pedagogu profesionālās kvalifikācijas nodrošināšana</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215D83" w:rsidRPr="00E16207" w:rsidRDefault="00215D83" w:rsidP="002E637D">
            <w:pPr>
              <w:ind w:left="-82" w:firstLine="82"/>
              <w:jc w:val="both"/>
            </w:pPr>
          </w:p>
          <w:p w:rsidR="00215D83" w:rsidRPr="00E16207" w:rsidRDefault="00A77146" w:rsidP="002E637D">
            <w:pPr>
              <w:ind w:left="-82"/>
              <w:jc w:val="both"/>
            </w:pPr>
            <w:r w:rsidRPr="00E16207">
              <w:rPr>
                <w:rFonts w:eastAsia="Calibri"/>
                <w:b/>
                <w:lang w:eastAsia="en-US"/>
              </w:rPr>
              <w:t xml:space="preserve">Darbiniekam noteikto pienākumu apzināta neveikšana vai nolaidīga veikšana savās vai citu personu interesēs - </w:t>
            </w:r>
            <w:r w:rsidRPr="00E16207">
              <w:rPr>
                <w:rFonts w:eastAsia="Calibri"/>
                <w:lang w:eastAsia="en-US"/>
              </w:rPr>
              <w:t>izglītības iestādē tiek nodarbināti pedagogi, kuru profesionālā kvalifikācija neatbilst normatīvo aktu prasībām.</w:t>
            </w:r>
          </w:p>
        </w:tc>
        <w:tc>
          <w:tcPr>
            <w:tcW w:w="567" w:type="dxa"/>
            <w:tcBorders>
              <w:left w:val="single" w:sz="4" w:space="0" w:color="auto"/>
            </w:tcBorders>
            <w:shd w:val="clear" w:color="auto" w:fill="auto"/>
            <w:noWrap/>
          </w:tcPr>
          <w:p w:rsidR="001C1547" w:rsidRPr="00E16207" w:rsidRDefault="001C1547" w:rsidP="002E637D">
            <w:pPr>
              <w:ind w:left="-82" w:firstLine="82"/>
              <w:jc w:val="both"/>
            </w:pPr>
          </w:p>
          <w:p w:rsidR="00215D83" w:rsidRPr="00E16207" w:rsidRDefault="001C1547" w:rsidP="002E637D">
            <w:pPr>
              <w:ind w:left="-82" w:firstLine="82"/>
              <w:jc w:val="both"/>
            </w:pPr>
            <w:r w:rsidRPr="00E16207">
              <w:t>V</w:t>
            </w:r>
          </w:p>
        </w:tc>
        <w:tc>
          <w:tcPr>
            <w:tcW w:w="3260" w:type="dxa"/>
            <w:shd w:val="clear" w:color="auto" w:fill="auto"/>
            <w:noWrap/>
          </w:tcPr>
          <w:p w:rsidR="00215D83" w:rsidRPr="00E16207" w:rsidRDefault="00215D83" w:rsidP="002E637D">
            <w:pPr>
              <w:ind w:left="-82" w:firstLine="82"/>
              <w:jc w:val="both"/>
            </w:pPr>
          </w:p>
          <w:p w:rsidR="00215D83" w:rsidRPr="00E16207" w:rsidRDefault="001C1547" w:rsidP="00635095">
            <w:pPr>
              <w:jc w:val="both"/>
            </w:pPr>
            <w:r w:rsidRPr="00E16207">
              <w:rPr>
                <w:rFonts w:eastAsia="Calibri"/>
                <w:lang w:eastAsia="en-US"/>
              </w:rPr>
              <w:t>Veikt pedagogu profesionālās kvalifikācijas izglītības dokumentu pārbaudi un ievadīto datu pārbaudi VIIS.</w:t>
            </w:r>
          </w:p>
        </w:tc>
        <w:tc>
          <w:tcPr>
            <w:tcW w:w="2268" w:type="dxa"/>
          </w:tcPr>
          <w:p w:rsidR="00EE1C4C" w:rsidRPr="00E16207" w:rsidRDefault="00EE1C4C" w:rsidP="00EE1C4C">
            <w:pPr>
              <w:ind w:left="-82"/>
              <w:jc w:val="both"/>
            </w:pPr>
          </w:p>
          <w:p w:rsidR="00215D83" w:rsidRPr="00E16207" w:rsidRDefault="00C75DBE" w:rsidP="00EE1C4C">
            <w:pPr>
              <w:ind w:left="-82"/>
              <w:jc w:val="both"/>
            </w:pPr>
            <w:r w:rsidRPr="00E16207">
              <w:t xml:space="preserve">Konstatēto pārkāpumu skaits attiecībā uz pedagogu profesionālās kvalifikācijas neatbilstību   </w:t>
            </w:r>
            <w:r w:rsidR="007D1C5D" w:rsidRPr="00E16207">
              <w:t>Ministru kabineta</w:t>
            </w:r>
            <w:r w:rsidRPr="00E16207">
              <w:t xml:space="preserve"> noteikumu prasībām</w:t>
            </w:r>
            <w:r w:rsidR="00753207" w:rsidRPr="00E16207">
              <w:t xml:space="preserve"> Departamenta pārbaudēs vai</w:t>
            </w:r>
            <w:r w:rsidRPr="00E16207">
              <w:t xml:space="preserve"> IKVD aktos  nepārsniedz </w:t>
            </w:r>
            <w:r w:rsidR="001C1547" w:rsidRPr="00E16207">
              <w:t>2</w:t>
            </w:r>
            <w:r w:rsidRPr="00E16207">
              <w:t xml:space="preserve"> gadījumus gadā.</w:t>
            </w:r>
          </w:p>
        </w:tc>
        <w:tc>
          <w:tcPr>
            <w:tcW w:w="1985" w:type="dxa"/>
            <w:shd w:val="clear" w:color="auto" w:fill="auto"/>
            <w:noWrap/>
          </w:tcPr>
          <w:p w:rsidR="003F5A74" w:rsidRPr="00E16207" w:rsidRDefault="003F5A74" w:rsidP="003F5A74">
            <w:pPr>
              <w:ind w:left="-82"/>
              <w:jc w:val="both"/>
            </w:pPr>
          </w:p>
          <w:p w:rsidR="00215D83" w:rsidRPr="00E16207" w:rsidRDefault="0074433A" w:rsidP="003F5A74">
            <w:pPr>
              <w:ind w:left="-82"/>
              <w:jc w:val="both"/>
            </w:pPr>
            <w:r w:rsidRPr="0093064D">
              <w:rPr>
                <w:rFonts w:eastAsia="Calibri"/>
                <w:lang w:eastAsia="en-US"/>
              </w:rPr>
              <w:t>Direktor</w:t>
            </w:r>
            <w:r>
              <w:rPr>
                <w:rFonts w:eastAsia="Calibri"/>
                <w:lang w:eastAsia="en-US"/>
              </w:rPr>
              <w:t>e K.Pauniņa</w:t>
            </w:r>
            <w:r w:rsidRPr="0093064D">
              <w:rPr>
                <w:rFonts w:eastAsia="Calibri"/>
                <w:lang w:eastAsia="en-US"/>
              </w:rPr>
              <w:t>, Direktora vietniek</w:t>
            </w:r>
            <w:r>
              <w:rPr>
                <w:rFonts w:eastAsia="Calibri"/>
                <w:lang w:eastAsia="en-US"/>
              </w:rPr>
              <w:t>i R.Nazarova, J.Smuļkēviča</w:t>
            </w:r>
          </w:p>
        </w:tc>
        <w:tc>
          <w:tcPr>
            <w:tcW w:w="1417" w:type="dxa"/>
            <w:shd w:val="clear" w:color="auto" w:fill="auto"/>
            <w:noWrap/>
          </w:tcPr>
          <w:p w:rsidR="003F5A74" w:rsidRPr="00E16207" w:rsidRDefault="003F5A74" w:rsidP="003F5A74">
            <w:pPr>
              <w:ind w:left="-82"/>
            </w:pPr>
          </w:p>
          <w:p w:rsidR="00087FE1" w:rsidRPr="00E16207" w:rsidRDefault="00087FE1" w:rsidP="00087FE1">
            <w:pPr>
              <w:spacing w:line="259" w:lineRule="auto"/>
              <w:rPr>
                <w:rFonts w:eastAsia="Calibri"/>
                <w:lang w:eastAsia="en-US"/>
              </w:rPr>
            </w:pPr>
            <w:r w:rsidRPr="00E16207">
              <w:rPr>
                <w:rFonts w:eastAsia="Calibri"/>
                <w:lang w:eastAsia="en-US"/>
              </w:rPr>
              <w:t>Katru gadu līdz  30.10.</w:t>
            </w:r>
          </w:p>
          <w:p w:rsidR="00215D83" w:rsidRPr="00E16207" w:rsidRDefault="00215D83" w:rsidP="003F5A74">
            <w:pPr>
              <w:ind w:left="-82"/>
            </w:pPr>
          </w:p>
        </w:tc>
      </w:tr>
    </w:tbl>
    <w:p w:rsidR="00F501A4" w:rsidRDefault="00F501A4" w:rsidP="001C31D4"/>
    <w:tbl>
      <w:tblPr>
        <w:tblpPr w:leftFromText="180" w:rightFromText="180" w:vertAnchor="text" w:horzAnchor="margin" w:tblpX="-34" w:tblpY="17"/>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3402"/>
        <w:gridCol w:w="567"/>
        <w:gridCol w:w="3402"/>
        <w:gridCol w:w="1984"/>
        <w:gridCol w:w="1985"/>
        <w:gridCol w:w="1559"/>
      </w:tblGrid>
      <w:tr w:rsidR="00AC4762" w:rsidRPr="00F501A4" w:rsidTr="001B0BFB">
        <w:trPr>
          <w:cantSplit/>
          <w:trHeight w:val="3381"/>
        </w:trPr>
        <w:tc>
          <w:tcPr>
            <w:tcW w:w="675" w:type="dxa"/>
            <w:tcBorders>
              <w:right w:val="single" w:sz="4" w:space="0" w:color="auto"/>
            </w:tcBorders>
            <w:shd w:val="clear" w:color="auto" w:fill="95B3D7"/>
            <w:noWrap/>
            <w:vAlign w:val="center"/>
          </w:tcPr>
          <w:p w:rsidR="00AC4762" w:rsidRPr="00E16207" w:rsidRDefault="00591E8D" w:rsidP="00F91FE9">
            <w:r w:rsidRPr="00E16207">
              <w:t>7</w:t>
            </w:r>
            <w:r w:rsidR="00AC4762" w:rsidRPr="00E16207">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AC4762" w:rsidRPr="00E16207" w:rsidRDefault="00AC4762" w:rsidP="00F91FE9">
            <w:pPr>
              <w:jc w:val="both"/>
            </w:pPr>
            <w:r w:rsidRPr="00E16207">
              <w:rPr>
                <w:rFonts w:eastAsia="Calibri"/>
                <w:b/>
                <w:lang w:eastAsia="en-US"/>
              </w:rPr>
              <w:t>Iepirkumu, t.sk. zemsliekšņa iepirkumu veikšana</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AC4762" w:rsidRPr="00E16207" w:rsidRDefault="00AC4762" w:rsidP="00AC4762">
            <w:pPr>
              <w:jc w:val="both"/>
              <w:rPr>
                <w:rFonts w:eastAsia="Calibri"/>
                <w:lang w:eastAsia="en-US"/>
              </w:rPr>
            </w:pPr>
            <w:r w:rsidRPr="00E16207">
              <w:rPr>
                <w:rFonts w:eastAsia="Calibri"/>
                <w:b/>
                <w:lang w:eastAsia="en-US"/>
              </w:rPr>
              <w:t xml:space="preserve">1) Prettiesiska rīcība publiskajā iepirkumā  ar mērķi gūt labumu sev vai citai personai. </w:t>
            </w:r>
            <w:r w:rsidRPr="00E16207">
              <w:rPr>
                <w:rFonts w:eastAsia="Calibri"/>
                <w:lang w:eastAsia="en-US"/>
              </w:rPr>
              <w:t>Tirgus izpēte tiek veikta tā, lai rezultātā līgums tiktu noslēgts ar konkrēto (vēlamo) pretendentu.</w:t>
            </w:r>
          </w:p>
          <w:p w:rsidR="00AC4762" w:rsidRPr="00E16207" w:rsidRDefault="00AC4762" w:rsidP="00AC4762">
            <w:pPr>
              <w:spacing w:line="259" w:lineRule="auto"/>
              <w:jc w:val="both"/>
              <w:rPr>
                <w:rFonts w:eastAsia="Calibri"/>
                <w:lang w:eastAsia="en-US"/>
              </w:rPr>
            </w:pPr>
            <w:r w:rsidRPr="00E16207">
              <w:rPr>
                <w:rFonts w:eastAsia="Calibri"/>
                <w:lang w:eastAsia="en-US"/>
              </w:rPr>
              <w:t>2)</w:t>
            </w:r>
            <w:r w:rsidRPr="00E16207">
              <w:rPr>
                <w:rFonts w:eastAsia="Calibri"/>
                <w:b/>
                <w:lang w:eastAsia="en-US"/>
              </w:rPr>
              <w:t xml:space="preserve">Neatļauta informācijas izmantošana (izpaušana) ar mērķi gūt labumu sev vai citai personai. </w:t>
            </w:r>
            <w:r w:rsidRPr="00E16207">
              <w:rPr>
                <w:rFonts w:eastAsia="Calibri"/>
                <w:lang w:eastAsia="en-US"/>
              </w:rPr>
              <w:t>Tiek informēts konkrētais (vēlamais) pretendents par citu pretendentu, piemēram, tā piedāvāto cenu.</w:t>
            </w:r>
          </w:p>
          <w:p w:rsidR="00AC4762" w:rsidRPr="00E16207" w:rsidRDefault="00AC4762" w:rsidP="00F91FE9">
            <w:pPr>
              <w:jc w:val="both"/>
            </w:pPr>
            <w:r w:rsidRPr="00E16207">
              <w:rPr>
                <w:rFonts w:eastAsia="Calibri"/>
                <w:lang w:eastAsia="en-US"/>
              </w:rPr>
              <w:t>3)</w:t>
            </w:r>
            <w:r w:rsidRPr="00E16207">
              <w:rPr>
                <w:rFonts w:eastAsia="Calibri"/>
                <w:b/>
                <w:lang w:eastAsia="en-US"/>
              </w:rPr>
              <w:t xml:space="preserve">Valsts amatpersonas funkciju izpilde interešu </w:t>
            </w:r>
            <w:r w:rsidRPr="00E16207">
              <w:rPr>
                <w:rFonts w:eastAsia="Calibri"/>
                <w:b/>
                <w:lang w:eastAsia="en-US"/>
              </w:rPr>
              <w:lastRenderedPageBreak/>
              <w:t xml:space="preserve">konflikta situācijā. </w:t>
            </w:r>
            <w:r w:rsidRPr="00E16207">
              <w:rPr>
                <w:rFonts w:eastAsia="Calibri"/>
                <w:lang w:eastAsia="en-US"/>
              </w:rPr>
              <w:t>Netiek informēta vadība, ka pretendenta komercsabiedrībā (vadošā amatā) tiek nodarbināts tirgus izpētes veicēja radinieks vai cita tuva persona u.c.</w:t>
            </w:r>
          </w:p>
        </w:tc>
        <w:tc>
          <w:tcPr>
            <w:tcW w:w="567" w:type="dxa"/>
            <w:tcBorders>
              <w:left w:val="single" w:sz="4" w:space="0" w:color="auto"/>
            </w:tcBorders>
            <w:shd w:val="clear" w:color="auto" w:fill="auto"/>
            <w:noWrap/>
          </w:tcPr>
          <w:p w:rsidR="00AC4762" w:rsidRPr="00E16207" w:rsidRDefault="003648AC" w:rsidP="00F91FE9">
            <w:pPr>
              <w:jc w:val="both"/>
            </w:pPr>
            <w:r w:rsidRPr="00E16207">
              <w:lastRenderedPageBreak/>
              <w:t>V</w:t>
            </w:r>
          </w:p>
        </w:tc>
        <w:tc>
          <w:tcPr>
            <w:tcW w:w="3402" w:type="dxa"/>
            <w:shd w:val="clear" w:color="auto" w:fill="auto"/>
            <w:noWrap/>
          </w:tcPr>
          <w:p w:rsidR="00AC4762" w:rsidRPr="00E16207" w:rsidRDefault="003648AC" w:rsidP="00F91FE9">
            <w:pPr>
              <w:jc w:val="both"/>
              <w:rPr>
                <w:highlight w:val="yellow"/>
              </w:rPr>
            </w:pPr>
            <w:r w:rsidRPr="00E16207">
              <w:rPr>
                <w:rFonts w:eastAsia="Calibri"/>
                <w:lang w:eastAsia="en-US"/>
              </w:rPr>
              <w:t>1</w:t>
            </w:r>
            <w:r w:rsidR="00AC4762" w:rsidRPr="00E16207">
              <w:rPr>
                <w:rFonts w:eastAsia="Calibri"/>
                <w:lang w:eastAsia="en-US"/>
              </w:rPr>
              <w:t xml:space="preserve">) </w:t>
            </w:r>
            <w:r w:rsidRPr="00E16207">
              <w:rPr>
                <w:rFonts w:eastAsia="Calibri"/>
                <w:lang w:eastAsia="en-US"/>
              </w:rPr>
              <w:t>līdz</w:t>
            </w:r>
            <w:r w:rsidR="00AC4762" w:rsidRPr="00E16207">
              <w:rPr>
                <w:rFonts w:eastAsia="Calibri"/>
                <w:lang w:eastAsia="en-US"/>
              </w:rPr>
              <w:t xml:space="preserve"> 3) organizēt apmācības par interešu konflikta novēršanas jautājumiem skolas atbildīgajiem darbiniekiem</w:t>
            </w:r>
            <w:r w:rsidR="007D1C5D" w:rsidRPr="00E16207">
              <w:rPr>
                <w:rFonts w:eastAsia="Calibri"/>
                <w:lang w:eastAsia="en-US"/>
              </w:rPr>
              <w:t>.</w:t>
            </w:r>
          </w:p>
        </w:tc>
        <w:tc>
          <w:tcPr>
            <w:tcW w:w="1984" w:type="dxa"/>
          </w:tcPr>
          <w:p w:rsidR="00AC4762" w:rsidRPr="00E16207" w:rsidRDefault="00AC4762" w:rsidP="00F91FE9">
            <w:pPr>
              <w:jc w:val="both"/>
            </w:pPr>
            <w:r w:rsidRPr="00E16207">
              <w:t>Sūdzību un konstatēto pārkāpumu skaits 0.</w:t>
            </w:r>
          </w:p>
        </w:tc>
        <w:tc>
          <w:tcPr>
            <w:tcW w:w="1985" w:type="dxa"/>
            <w:shd w:val="clear" w:color="auto" w:fill="auto"/>
            <w:noWrap/>
          </w:tcPr>
          <w:p w:rsidR="00AC4762" w:rsidRPr="00E16207" w:rsidRDefault="003648AC" w:rsidP="00F91FE9">
            <w:pPr>
              <w:jc w:val="both"/>
            </w:pPr>
            <w:r w:rsidRPr="00E16207">
              <w:t>1</w:t>
            </w:r>
            <w:r w:rsidR="00AC4762" w:rsidRPr="00E16207">
              <w:t xml:space="preserve">) </w:t>
            </w:r>
            <w:r w:rsidRPr="00E16207">
              <w:t>līdz</w:t>
            </w:r>
            <w:r w:rsidR="00AC4762" w:rsidRPr="00E16207">
              <w:t xml:space="preserve"> 3) </w:t>
            </w:r>
            <w:r w:rsidR="00544BA5" w:rsidRPr="0093064D">
              <w:rPr>
                <w:rFonts w:eastAsia="Calibri"/>
                <w:lang w:eastAsia="en-US"/>
              </w:rPr>
              <w:t xml:space="preserve"> Direktor</w:t>
            </w:r>
            <w:r w:rsidR="00544BA5">
              <w:rPr>
                <w:rFonts w:eastAsia="Calibri"/>
                <w:lang w:eastAsia="en-US"/>
              </w:rPr>
              <w:t>e K.Pauniņa</w:t>
            </w:r>
          </w:p>
        </w:tc>
        <w:tc>
          <w:tcPr>
            <w:tcW w:w="1559" w:type="dxa"/>
            <w:shd w:val="clear" w:color="auto" w:fill="auto"/>
            <w:noWrap/>
          </w:tcPr>
          <w:p w:rsidR="00AC4762" w:rsidRPr="00E16207" w:rsidRDefault="003648AC" w:rsidP="00AC4762">
            <w:pPr>
              <w:jc w:val="both"/>
            </w:pPr>
            <w:r w:rsidRPr="00E16207">
              <w:t>1</w:t>
            </w:r>
            <w:r w:rsidR="00AC4762" w:rsidRPr="00E16207">
              <w:t xml:space="preserve">) </w:t>
            </w:r>
            <w:r w:rsidRPr="00E16207">
              <w:t>līdz</w:t>
            </w:r>
            <w:r w:rsidR="00AC4762" w:rsidRPr="00E16207">
              <w:t xml:space="preserve"> 3) Ne </w:t>
            </w:r>
            <w:r w:rsidRPr="00E16207">
              <w:t>r</w:t>
            </w:r>
            <w:r w:rsidR="00AC4762" w:rsidRPr="00E16207">
              <w:t>etāk kā 1 reizi gadā</w:t>
            </w:r>
          </w:p>
          <w:p w:rsidR="00AC4762" w:rsidRPr="00E16207" w:rsidRDefault="00AC4762" w:rsidP="00F91FE9">
            <w:pPr>
              <w:jc w:val="both"/>
            </w:pPr>
          </w:p>
        </w:tc>
      </w:tr>
    </w:tbl>
    <w:p w:rsidR="00F10096" w:rsidRDefault="00F10096" w:rsidP="00F10096">
      <w:pPr>
        <w:tabs>
          <w:tab w:val="right" w:pos="14720"/>
        </w:tabs>
        <w:outlineLvl w:val="0"/>
      </w:pPr>
    </w:p>
    <w:p w:rsidR="00FC5610" w:rsidRPr="007D1C5D" w:rsidRDefault="002D12E4" w:rsidP="00F10096">
      <w:pPr>
        <w:tabs>
          <w:tab w:val="right" w:pos="14720"/>
        </w:tabs>
        <w:outlineLvl w:val="0"/>
        <w:rPr>
          <w:sz w:val="26"/>
          <w:szCs w:val="26"/>
        </w:rPr>
      </w:pPr>
      <w:r w:rsidRPr="007D1C5D">
        <w:rPr>
          <w:sz w:val="26"/>
          <w:szCs w:val="26"/>
        </w:rPr>
        <w:t xml:space="preserve">Sagatavoja: </w:t>
      </w:r>
    </w:p>
    <w:p w:rsidR="00D441C3" w:rsidRDefault="00D10A06" w:rsidP="0049719B">
      <w:pPr>
        <w:tabs>
          <w:tab w:val="right" w:pos="14720"/>
        </w:tabs>
        <w:outlineLvl w:val="0"/>
        <w:rPr>
          <w:sz w:val="26"/>
          <w:szCs w:val="26"/>
        </w:rPr>
      </w:pPr>
      <w:r>
        <w:rPr>
          <w:sz w:val="26"/>
          <w:szCs w:val="26"/>
        </w:rPr>
        <w:t>Pauniņa</w:t>
      </w:r>
      <w:r w:rsidR="00544BA5">
        <w:rPr>
          <w:sz w:val="26"/>
          <w:szCs w:val="26"/>
        </w:rPr>
        <w:t>, 6718190</w:t>
      </w:r>
      <w:r>
        <w:rPr>
          <w:sz w:val="26"/>
          <w:szCs w:val="26"/>
        </w:rPr>
        <w:t>9</w:t>
      </w:r>
      <w:r w:rsidR="00544BA5">
        <w:rPr>
          <w:sz w:val="26"/>
          <w:szCs w:val="26"/>
        </w:rPr>
        <w:t xml:space="preserve">, </w:t>
      </w:r>
      <w:hyperlink r:id="rId8" w:history="1">
        <w:r w:rsidRPr="009619C8">
          <w:rPr>
            <w:rStyle w:val="Hyperlink"/>
            <w:sz w:val="26"/>
            <w:szCs w:val="26"/>
          </w:rPr>
          <w:t>kpaunina@edu.riga.lv</w:t>
        </w:r>
      </w:hyperlink>
      <w:bookmarkStart w:id="1" w:name="_GoBack"/>
      <w:bookmarkEnd w:id="1"/>
    </w:p>
    <w:p w:rsidR="00D96926" w:rsidRDefault="00D96926" w:rsidP="0049719B">
      <w:pPr>
        <w:tabs>
          <w:tab w:val="right" w:pos="14720"/>
        </w:tabs>
        <w:outlineLvl w:val="0"/>
        <w:rPr>
          <w:sz w:val="26"/>
          <w:szCs w:val="26"/>
        </w:rPr>
      </w:pPr>
    </w:p>
    <w:p w:rsidR="00D96926" w:rsidRDefault="00D96926" w:rsidP="0049719B">
      <w:pPr>
        <w:tabs>
          <w:tab w:val="right" w:pos="14720"/>
        </w:tabs>
        <w:outlineLvl w:val="0"/>
        <w:rPr>
          <w:sz w:val="26"/>
          <w:szCs w:val="26"/>
        </w:rPr>
      </w:pPr>
    </w:p>
    <w:p w:rsidR="00D96926" w:rsidRDefault="00D96926" w:rsidP="0049719B">
      <w:pPr>
        <w:tabs>
          <w:tab w:val="right" w:pos="14720"/>
        </w:tabs>
        <w:outlineLvl w:val="0"/>
        <w:rPr>
          <w:sz w:val="26"/>
          <w:szCs w:val="26"/>
        </w:rPr>
      </w:pPr>
    </w:p>
    <w:p w:rsidR="00D96926" w:rsidRDefault="00D96926" w:rsidP="0049719B">
      <w:pPr>
        <w:tabs>
          <w:tab w:val="right" w:pos="14720"/>
        </w:tabs>
        <w:outlineLvl w:val="0"/>
        <w:rPr>
          <w:sz w:val="26"/>
          <w:szCs w:val="26"/>
        </w:rPr>
      </w:pPr>
      <w:r>
        <w:rPr>
          <w:sz w:val="26"/>
          <w:szCs w:val="26"/>
        </w:rPr>
        <w:t>Direktore                                                                                                                                                                                     K.Pauniņa</w:t>
      </w:r>
    </w:p>
    <w:p w:rsidR="0049719B" w:rsidRPr="007D1C5D" w:rsidRDefault="0049719B" w:rsidP="002D12E4">
      <w:pPr>
        <w:outlineLvl w:val="0"/>
        <w:rPr>
          <w:sz w:val="26"/>
          <w:szCs w:val="26"/>
        </w:rPr>
      </w:pPr>
    </w:p>
    <w:sectPr w:rsidR="0049719B" w:rsidRPr="007D1C5D" w:rsidSect="00013A2E">
      <w:headerReference w:type="default" r:id="rId9"/>
      <w:footerReference w:type="default" r:id="rId10"/>
      <w:pgSz w:w="16838" w:h="11906" w:orient="landscape"/>
      <w:pgMar w:top="1702" w:right="678" w:bottom="141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FBA" w:rsidRDefault="00DC3FBA" w:rsidP="009F0C00">
      <w:r>
        <w:separator/>
      </w:r>
    </w:p>
  </w:endnote>
  <w:endnote w:type="continuationSeparator" w:id="0">
    <w:p w:rsidR="00DC3FBA" w:rsidRDefault="00DC3FBA" w:rsidP="009F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1974420"/>
      <w:docPartObj>
        <w:docPartGallery w:val="Page Numbers (Bottom of Page)"/>
        <w:docPartUnique/>
      </w:docPartObj>
    </w:sdtPr>
    <w:sdtEndPr/>
    <w:sdtContent>
      <w:p w:rsidR="005137E3" w:rsidRDefault="005137E3">
        <w:pPr>
          <w:pStyle w:val="Footer"/>
          <w:jc w:val="center"/>
        </w:pPr>
        <w:r>
          <w:t xml:space="preserve">IEROBEŽOTA PIEEJAMĪBA </w:t>
        </w:r>
      </w:p>
      <w:p w:rsidR="005137E3" w:rsidRDefault="005137E3">
        <w:pPr>
          <w:pStyle w:val="Footer"/>
          <w:jc w:val="center"/>
        </w:pPr>
        <w:r>
          <w:fldChar w:fldCharType="begin"/>
        </w:r>
        <w:r>
          <w:instrText>PAGE   \* MERGEFORMAT</w:instrText>
        </w:r>
        <w:r>
          <w:fldChar w:fldCharType="separate"/>
        </w:r>
        <w:r w:rsidR="00770541">
          <w:rPr>
            <w:noProof/>
          </w:rPr>
          <w:t>14</w:t>
        </w:r>
        <w:r>
          <w:fldChar w:fldCharType="end"/>
        </w:r>
      </w:p>
    </w:sdtContent>
  </w:sdt>
  <w:p w:rsidR="005137E3" w:rsidRDefault="00513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FBA" w:rsidRDefault="00DC3FBA" w:rsidP="009F0C00">
      <w:r>
        <w:separator/>
      </w:r>
    </w:p>
  </w:footnote>
  <w:footnote w:type="continuationSeparator" w:id="0">
    <w:p w:rsidR="00DC3FBA" w:rsidRDefault="00DC3FBA" w:rsidP="009F0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7E3" w:rsidRDefault="00570703" w:rsidP="00570703">
    <w:pPr>
      <w:pStyle w:val="Header"/>
      <w:tabs>
        <w:tab w:val="clear" w:pos="4153"/>
        <w:tab w:val="clear" w:pos="8306"/>
        <w:tab w:val="center" w:pos="7230"/>
        <w:tab w:val="right" w:pos="14720"/>
      </w:tabs>
      <w:jc w:val="center"/>
    </w:pPr>
    <w:r>
      <w:tab/>
    </w:r>
    <w:r w:rsidR="005137E3">
      <w:t>IEROBEŽOTA PIEEJAMĪBA</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87A05"/>
    <w:multiLevelType w:val="hybridMultilevel"/>
    <w:tmpl w:val="097674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9F716D4"/>
    <w:multiLevelType w:val="hybridMultilevel"/>
    <w:tmpl w:val="6FE4DAB2"/>
    <w:lvl w:ilvl="0" w:tplc="04260011">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4B26C4"/>
    <w:multiLevelType w:val="hybridMultilevel"/>
    <w:tmpl w:val="C0AC0AD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F7248DA"/>
    <w:multiLevelType w:val="hybridMultilevel"/>
    <w:tmpl w:val="5C62A0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E2E5634"/>
    <w:multiLevelType w:val="hybridMultilevel"/>
    <w:tmpl w:val="C930C2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D811BE7"/>
    <w:multiLevelType w:val="hybridMultilevel"/>
    <w:tmpl w:val="6FE4DAB2"/>
    <w:lvl w:ilvl="0" w:tplc="04260011">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7F"/>
    <w:rsid w:val="00000298"/>
    <w:rsid w:val="000077D3"/>
    <w:rsid w:val="00013A2E"/>
    <w:rsid w:val="000225DC"/>
    <w:rsid w:val="00022BB0"/>
    <w:rsid w:val="00023477"/>
    <w:rsid w:val="00030D29"/>
    <w:rsid w:val="00032825"/>
    <w:rsid w:val="00033F83"/>
    <w:rsid w:val="00041327"/>
    <w:rsid w:val="000469CF"/>
    <w:rsid w:val="00051216"/>
    <w:rsid w:val="00052EE9"/>
    <w:rsid w:val="000579E4"/>
    <w:rsid w:val="00063863"/>
    <w:rsid w:val="000646A5"/>
    <w:rsid w:val="00070F44"/>
    <w:rsid w:val="00072C91"/>
    <w:rsid w:val="00087A5D"/>
    <w:rsid w:val="00087FE1"/>
    <w:rsid w:val="000952A4"/>
    <w:rsid w:val="000A0CCC"/>
    <w:rsid w:val="000A5129"/>
    <w:rsid w:val="000A7B99"/>
    <w:rsid w:val="000B0F5D"/>
    <w:rsid w:val="000C01DB"/>
    <w:rsid w:val="000C3EC2"/>
    <w:rsid w:val="000C7954"/>
    <w:rsid w:val="000D3212"/>
    <w:rsid w:val="000D3CEC"/>
    <w:rsid w:val="000D6D60"/>
    <w:rsid w:val="000E3888"/>
    <w:rsid w:val="000E43AB"/>
    <w:rsid w:val="00110185"/>
    <w:rsid w:val="00114FDF"/>
    <w:rsid w:val="00116AB8"/>
    <w:rsid w:val="00124B07"/>
    <w:rsid w:val="001260A0"/>
    <w:rsid w:val="0012753A"/>
    <w:rsid w:val="00131C05"/>
    <w:rsid w:val="00137216"/>
    <w:rsid w:val="001429F4"/>
    <w:rsid w:val="00151BB3"/>
    <w:rsid w:val="00153B7B"/>
    <w:rsid w:val="001613A9"/>
    <w:rsid w:val="0016546A"/>
    <w:rsid w:val="00165AE6"/>
    <w:rsid w:val="00170381"/>
    <w:rsid w:val="0017320B"/>
    <w:rsid w:val="00173B80"/>
    <w:rsid w:val="0017638B"/>
    <w:rsid w:val="001778CB"/>
    <w:rsid w:val="001815B1"/>
    <w:rsid w:val="00184CF1"/>
    <w:rsid w:val="00190DEF"/>
    <w:rsid w:val="001961F8"/>
    <w:rsid w:val="00197A80"/>
    <w:rsid w:val="001A0055"/>
    <w:rsid w:val="001A6DC3"/>
    <w:rsid w:val="001A7F09"/>
    <w:rsid w:val="001B0BFB"/>
    <w:rsid w:val="001B362B"/>
    <w:rsid w:val="001B4E8C"/>
    <w:rsid w:val="001B66AB"/>
    <w:rsid w:val="001C064B"/>
    <w:rsid w:val="001C0A11"/>
    <w:rsid w:val="001C1547"/>
    <w:rsid w:val="001C31D4"/>
    <w:rsid w:val="001C530F"/>
    <w:rsid w:val="001D1C43"/>
    <w:rsid w:val="001E66D5"/>
    <w:rsid w:val="002003C4"/>
    <w:rsid w:val="0020097E"/>
    <w:rsid w:val="00201C9A"/>
    <w:rsid w:val="0021244B"/>
    <w:rsid w:val="00215D83"/>
    <w:rsid w:val="0022145C"/>
    <w:rsid w:val="0023449A"/>
    <w:rsid w:val="002403B6"/>
    <w:rsid w:val="00240689"/>
    <w:rsid w:val="00243041"/>
    <w:rsid w:val="002477C0"/>
    <w:rsid w:val="00251026"/>
    <w:rsid w:val="002555AD"/>
    <w:rsid w:val="0026136E"/>
    <w:rsid w:val="0026220E"/>
    <w:rsid w:val="00270685"/>
    <w:rsid w:val="00275222"/>
    <w:rsid w:val="00287723"/>
    <w:rsid w:val="0029589D"/>
    <w:rsid w:val="002A1429"/>
    <w:rsid w:val="002A1942"/>
    <w:rsid w:val="002A21E8"/>
    <w:rsid w:val="002A5178"/>
    <w:rsid w:val="002B2CC1"/>
    <w:rsid w:val="002C4701"/>
    <w:rsid w:val="002D12E4"/>
    <w:rsid w:val="002E2106"/>
    <w:rsid w:val="002E3CF2"/>
    <w:rsid w:val="002E637D"/>
    <w:rsid w:val="002F0335"/>
    <w:rsid w:val="002F37CD"/>
    <w:rsid w:val="002F391E"/>
    <w:rsid w:val="002F5D3E"/>
    <w:rsid w:val="00302965"/>
    <w:rsid w:val="003133B0"/>
    <w:rsid w:val="00314DF5"/>
    <w:rsid w:val="00315656"/>
    <w:rsid w:val="00315954"/>
    <w:rsid w:val="00332557"/>
    <w:rsid w:val="00352AA6"/>
    <w:rsid w:val="00355651"/>
    <w:rsid w:val="00356F29"/>
    <w:rsid w:val="00357290"/>
    <w:rsid w:val="003648AC"/>
    <w:rsid w:val="0036506F"/>
    <w:rsid w:val="00366BE3"/>
    <w:rsid w:val="00367FA3"/>
    <w:rsid w:val="00370DD9"/>
    <w:rsid w:val="00373B7D"/>
    <w:rsid w:val="0037777A"/>
    <w:rsid w:val="003861B9"/>
    <w:rsid w:val="0039093C"/>
    <w:rsid w:val="003A220E"/>
    <w:rsid w:val="003A2656"/>
    <w:rsid w:val="003A38EE"/>
    <w:rsid w:val="003A5100"/>
    <w:rsid w:val="003B2F5A"/>
    <w:rsid w:val="003B5E77"/>
    <w:rsid w:val="003B6DB7"/>
    <w:rsid w:val="003B6EE4"/>
    <w:rsid w:val="003C4424"/>
    <w:rsid w:val="003C7F56"/>
    <w:rsid w:val="003D0E13"/>
    <w:rsid w:val="003D2DAF"/>
    <w:rsid w:val="003D3EA1"/>
    <w:rsid w:val="003E6E97"/>
    <w:rsid w:val="003F5A74"/>
    <w:rsid w:val="00401956"/>
    <w:rsid w:val="00402C50"/>
    <w:rsid w:val="00404D99"/>
    <w:rsid w:val="00411EBC"/>
    <w:rsid w:val="00417C6F"/>
    <w:rsid w:val="00421E71"/>
    <w:rsid w:val="00421EEA"/>
    <w:rsid w:val="004230CF"/>
    <w:rsid w:val="00442131"/>
    <w:rsid w:val="004425A0"/>
    <w:rsid w:val="00452412"/>
    <w:rsid w:val="00460486"/>
    <w:rsid w:val="00461852"/>
    <w:rsid w:val="004662F5"/>
    <w:rsid w:val="00467D60"/>
    <w:rsid w:val="00491B99"/>
    <w:rsid w:val="0049337F"/>
    <w:rsid w:val="004951B0"/>
    <w:rsid w:val="0049719B"/>
    <w:rsid w:val="004B29F7"/>
    <w:rsid w:val="004B457A"/>
    <w:rsid w:val="004B4E29"/>
    <w:rsid w:val="004C3735"/>
    <w:rsid w:val="004D3123"/>
    <w:rsid w:val="004D3654"/>
    <w:rsid w:val="004D5C22"/>
    <w:rsid w:val="004E00EF"/>
    <w:rsid w:val="004E3C48"/>
    <w:rsid w:val="004E7EF4"/>
    <w:rsid w:val="004F358E"/>
    <w:rsid w:val="004F728D"/>
    <w:rsid w:val="0050023E"/>
    <w:rsid w:val="005003BE"/>
    <w:rsid w:val="0050397B"/>
    <w:rsid w:val="00503DA3"/>
    <w:rsid w:val="00504D29"/>
    <w:rsid w:val="005068D9"/>
    <w:rsid w:val="00511FD8"/>
    <w:rsid w:val="005137E3"/>
    <w:rsid w:val="00526083"/>
    <w:rsid w:val="00544BA5"/>
    <w:rsid w:val="00546947"/>
    <w:rsid w:val="00546D27"/>
    <w:rsid w:val="00556E9E"/>
    <w:rsid w:val="00562A0D"/>
    <w:rsid w:val="00563034"/>
    <w:rsid w:val="00563567"/>
    <w:rsid w:val="00570703"/>
    <w:rsid w:val="005717A9"/>
    <w:rsid w:val="00573CA5"/>
    <w:rsid w:val="00583BEB"/>
    <w:rsid w:val="00590368"/>
    <w:rsid w:val="00591E8D"/>
    <w:rsid w:val="005B0C82"/>
    <w:rsid w:val="005B172F"/>
    <w:rsid w:val="005C2E0A"/>
    <w:rsid w:val="005C4F67"/>
    <w:rsid w:val="005E4CD0"/>
    <w:rsid w:val="0060793A"/>
    <w:rsid w:val="00615157"/>
    <w:rsid w:val="00616EFF"/>
    <w:rsid w:val="00617A5F"/>
    <w:rsid w:val="0062019B"/>
    <w:rsid w:val="00622BDF"/>
    <w:rsid w:val="00630EFF"/>
    <w:rsid w:val="00635095"/>
    <w:rsid w:val="00657275"/>
    <w:rsid w:val="00661534"/>
    <w:rsid w:val="00665DF7"/>
    <w:rsid w:val="0067082F"/>
    <w:rsid w:val="00670B9B"/>
    <w:rsid w:val="00671ABE"/>
    <w:rsid w:val="00673678"/>
    <w:rsid w:val="006905F9"/>
    <w:rsid w:val="006952A1"/>
    <w:rsid w:val="006A1028"/>
    <w:rsid w:val="006A23B7"/>
    <w:rsid w:val="006B6D2D"/>
    <w:rsid w:val="006B7AA9"/>
    <w:rsid w:val="006C6C04"/>
    <w:rsid w:val="006D1F98"/>
    <w:rsid w:val="006D4548"/>
    <w:rsid w:val="006E2209"/>
    <w:rsid w:val="006E7DF3"/>
    <w:rsid w:val="00700660"/>
    <w:rsid w:val="0071553F"/>
    <w:rsid w:val="007268C2"/>
    <w:rsid w:val="00732054"/>
    <w:rsid w:val="00736661"/>
    <w:rsid w:val="00736747"/>
    <w:rsid w:val="00736812"/>
    <w:rsid w:val="00742B4D"/>
    <w:rsid w:val="0074433A"/>
    <w:rsid w:val="0074508D"/>
    <w:rsid w:val="00746D51"/>
    <w:rsid w:val="007510EC"/>
    <w:rsid w:val="00753207"/>
    <w:rsid w:val="00754553"/>
    <w:rsid w:val="00754BE8"/>
    <w:rsid w:val="007628C9"/>
    <w:rsid w:val="00770541"/>
    <w:rsid w:val="00771556"/>
    <w:rsid w:val="007720DC"/>
    <w:rsid w:val="00796E7C"/>
    <w:rsid w:val="007A2BEA"/>
    <w:rsid w:val="007A6E4C"/>
    <w:rsid w:val="007A7817"/>
    <w:rsid w:val="007B7383"/>
    <w:rsid w:val="007C62A1"/>
    <w:rsid w:val="007D0697"/>
    <w:rsid w:val="007D1C5D"/>
    <w:rsid w:val="007D797F"/>
    <w:rsid w:val="007F192D"/>
    <w:rsid w:val="00804A9E"/>
    <w:rsid w:val="00806F72"/>
    <w:rsid w:val="00823790"/>
    <w:rsid w:val="00837D2A"/>
    <w:rsid w:val="00846E78"/>
    <w:rsid w:val="00860476"/>
    <w:rsid w:val="00871636"/>
    <w:rsid w:val="0087688D"/>
    <w:rsid w:val="00882DF1"/>
    <w:rsid w:val="00884743"/>
    <w:rsid w:val="00894308"/>
    <w:rsid w:val="008A0031"/>
    <w:rsid w:val="008A0F77"/>
    <w:rsid w:val="008A19C5"/>
    <w:rsid w:val="008A6D3A"/>
    <w:rsid w:val="008A7F45"/>
    <w:rsid w:val="008B2EE2"/>
    <w:rsid w:val="008B52C7"/>
    <w:rsid w:val="008B6056"/>
    <w:rsid w:val="008B659A"/>
    <w:rsid w:val="008C04C9"/>
    <w:rsid w:val="008C33C2"/>
    <w:rsid w:val="008D3989"/>
    <w:rsid w:val="008E03AC"/>
    <w:rsid w:val="008E34F2"/>
    <w:rsid w:val="008E37D1"/>
    <w:rsid w:val="008F7327"/>
    <w:rsid w:val="00901E4A"/>
    <w:rsid w:val="00902185"/>
    <w:rsid w:val="00914D4F"/>
    <w:rsid w:val="00915143"/>
    <w:rsid w:val="009242A1"/>
    <w:rsid w:val="0093032E"/>
    <w:rsid w:val="0093064D"/>
    <w:rsid w:val="009356EF"/>
    <w:rsid w:val="009413B2"/>
    <w:rsid w:val="00943F27"/>
    <w:rsid w:val="009462E3"/>
    <w:rsid w:val="00956441"/>
    <w:rsid w:val="00957113"/>
    <w:rsid w:val="00971D66"/>
    <w:rsid w:val="00971F21"/>
    <w:rsid w:val="00982557"/>
    <w:rsid w:val="00984740"/>
    <w:rsid w:val="00985B32"/>
    <w:rsid w:val="009A5E6B"/>
    <w:rsid w:val="009B12BF"/>
    <w:rsid w:val="009C68FA"/>
    <w:rsid w:val="009C7871"/>
    <w:rsid w:val="009D7D12"/>
    <w:rsid w:val="009E077E"/>
    <w:rsid w:val="009E0F59"/>
    <w:rsid w:val="009E73FE"/>
    <w:rsid w:val="009E78F7"/>
    <w:rsid w:val="009F0C00"/>
    <w:rsid w:val="009F3FDE"/>
    <w:rsid w:val="009F4714"/>
    <w:rsid w:val="00A0790B"/>
    <w:rsid w:val="00A34DF9"/>
    <w:rsid w:val="00A3580B"/>
    <w:rsid w:val="00A35B24"/>
    <w:rsid w:val="00A365F3"/>
    <w:rsid w:val="00A465C5"/>
    <w:rsid w:val="00A50653"/>
    <w:rsid w:val="00A51DC8"/>
    <w:rsid w:val="00A56A4C"/>
    <w:rsid w:val="00A6191C"/>
    <w:rsid w:val="00A64437"/>
    <w:rsid w:val="00A7041B"/>
    <w:rsid w:val="00A72991"/>
    <w:rsid w:val="00A77146"/>
    <w:rsid w:val="00A8755E"/>
    <w:rsid w:val="00A96226"/>
    <w:rsid w:val="00AA0BD3"/>
    <w:rsid w:val="00AB6A36"/>
    <w:rsid w:val="00AB7A92"/>
    <w:rsid w:val="00AC3355"/>
    <w:rsid w:val="00AC4762"/>
    <w:rsid w:val="00AC6181"/>
    <w:rsid w:val="00AD0480"/>
    <w:rsid w:val="00AD5F87"/>
    <w:rsid w:val="00AD65D5"/>
    <w:rsid w:val="00AE19D5"/>
    <w:rsid w:val="00AF0D27"/>
    <w:rsid w:val="00AF37CC"/>
    <w:rsid w:val="00AF45C4"/>
    <w:rsid w:val="00AF7A11"/>
    <w:rsid w:val="00AF7C14"/>
    <w:rsid w:val="00B1332C"/>
    <w:rsid w:val="00B2214F"/>
    <w:rsid w:val="00B254F2"/>
    <w:rsid w:val="00B2764B"/>
    <w:rsid w:val="00B27D3D"/>
    <w:rsid w:val="00B3487D"/>
    <w:rsid w:val="00B36CB2"/>
    <w:rsid w:val="00B36DD9"/>
    <w:rsid w:val="00B40669"/>
    <w:rsid w:val="00B42CAA"/>
    <w:rsid w:val="00B611A9"/>
    <w:rsid w:val="00B66E4D"/>
    <w:rsid w:val="00B75D48"/>
    <w:rsid w:val="00B81226"/>
    <w:rsid w:val="00B81E7C"/>
    <w:rsid w:val="00B8513B"/>
    <w:rsid w:val="00B868A7"/>
    <w:rsid w:val="00B92C0C"/>
    <w:rsid w:val="00B97377"/>
    <w:rsid w:val="00BA6A1D"/>
    <w:rsid w:val="00BB1CA2"/>
    <w:rsid w:val="00BB6451"/>
    <w:rsid w:val="00BB6597"/>
    <w:rsid w:val="00BC171D"/>
    <w:rsid w:val="00BC3604"/>
    <w:rsid w:val="00BC67FC"/>
    <w:rsid w:val="00BD6511"/>
    <w:rsid w:val="00BE03A1"/>
    <w:rsid w:val="00BE37CA"/>
    <w:rsid w:val="00BF05A5"/>
    <w:rsid w:val="00BF5312"/>
    <w:rsid w:val="00C0064E"/>
    <w:rsid w:val="00C01926"/>
    <w:rsid w:val="00C0793A"/>
    <w:rsid w:val="00C125BB"/>
    <w:rsid w:val="00C20A7A"/>
    <w:rsid w:val="00C257F4"/>
    <w:rsid w:val="00C335FB"/>
    <w:rsid w:val="00C348E4"/>
    <w:rsid w:val="00C42A8A"/>
    <w:rsid w:val="00C43467"/>
    <w:rsid w:val="00C4446F"/>
    <w:rsid w:val="00C457E4"/>
    <w:rsid w:val="00C53FDC"/>
    <w:rsid w:val="00C56FEF"/>
    <w:rsid w:val="00C640B6"/>
    <w:rsid w:val="00C75DBE"/>
    <w:rsid w:val="00C77813"/>
    <w:rsid w:val="00C92675"/>
    <w:rsid w:val="00C937EF"/>
    <w:rsid w:val="00CA0DFD"/>
    <w:rsid w:val="00CA3992"/>
    <w:rsid w:val="00CB146F"/>
    <w:rsid w:val="00CB293D"/>
    <w:rsid w:val="00CB30C5"/>
    <w:rsid w:val="00CB4054"/>
    <w:rsid w:val="00CC378F"/>
    <w:rsid w:val="00CD3ECD"/>
    <w:rsid w:val="00CE2510"/>
    <w:rsid w:val="00CE72CF"/>
    <w:rsid w:val="00CF0F60"/>
    <w:rsid w:val="00CF2AEA"/>
    <w:rsid w:val="00CF60E6"/>
    <w:rsid w:val="00D02055"/>
    <w:rsid w:val="00D05250"/>
    <w:rsid w:val="00D0589B"/>
    <w:rsid w:val="00D10A06"/>
    <w:rsid w:val="00D25AAE"/>
    <w:rsid w:val="00D25D13"/>
    <w:rsid w:val="00D327EC"/>
    <w:rsid w:val="00D33F89"/>
    <w:rsid w:val="00D43832"/>
    <w:rsid w:val="00D441C3"/>
    <w:rsid w:val="00D467A9"/>
    <w:rsid w:val="00D50304"/>
    <w:rsid w:val="00D50E0F"/>
    <w:rsid w:val="00D51597"/>
    <w:rsid w:val="00D5162B"/>
    <w:rsid w:val="00D51967"/>
    <w:rsid w:val="00D56170"/>
    <w:rsid w:val="00D6146F"/>
    <w:rsid w:val="00D70E95"/>
    <w:rsid w:val="00D740E6"/>
    <w:rsid w:val="00D76344"/>
    <w:rsid w:val="00D776AB"/>
    <w:rsid w:val="00D8291C"/>
    <w:rsid w:val="00D83FBC"/>
    <w:rsid w:val="00D85D26"/>
    <w:rsid w:val="00D86280"/>
    <w:rsid w:val="00D96926"/>
    <w:rsid w:val="00DA33E2"/>
    <w:rsid w:val="00DA4734"/>
    <w:rsid w:val="00DB23F7"/>
    <w:rsid w:val="00DC3FBA"/>
    <w:rsid w:val="00DD4699"/>
    <w:rsid w:val="00DD62C6"/>
    <w:rsid w:val="00DD6547"/>
    <w:rsid w:val="00DD7C22"/>
    <w:rsid w:val="00DE6161"/>
    <w:rsid w:val="00DE76F1"/>
    <w:rsid w:val="00DF4325"/>
    <w:rsid w:val="00E03814"/>
    <w:rsid w:val="00E100EA"/>
    <w:rsid w:val="00E129D4"/>
    <w:rsid w:val="00E16207"/>
    <w:rsid w:val="00E25D6A"/>
    <w:rsid w:val="00E26A17"/>
    <w:rsid w:val="00E27C01"/>
    <w:rsid w:val="00E3076C"/>
    <w:rsid w:val="00E31CFA"/>
    <w:rsid w:val="00E374CF"/>
    <w:rsid w:val="00E51E6B"/>
    <w:rsid w:val="00E60C9E"/>
    <w:rsid w:val="00E62781"/>
    <w:rsid w:val="00E70393"/>
    <w:rsid w:val="00E82065"/>
    <w:rsid w:val="00E84E6C"/>
    <w:rsid w:val="00E86EC8"/>
    <w:rsid w:val="00E91AF7"/>
    <w:rsid w:val="00E96273"/>
    <w:rsid w:val="00E96BA9"/>
    <w:rsid w:val="00EA1100"/>
    <w:rsid w:val="00EA5E37"/>
    <w:rsid w:val="00EA7BCD"/>
    <w:rsid w:val="00EB27FA"/>
    <w:rsid w:val="00EB3222"/>
    <w:rsid w:val="00EC1E60"/>
    <w:rsid w:val="00EC5429"/>
    <w:rsid w:val="00ED1668"/>
    <w:rsid w:val="00ED175A"/>
    <w:rsid w:val="00ED605B"/>
    <w:rsid w:val="00EE1C4C"/>
    <w:rsid w:val="00EE2BE8"/>
    <w:rsid w:val="00EE35AC"/>
    <w:rsid w:val="00EE3D67"/>
    <w:rsid w:val="00EF1C70"/>
    <w:rsid w:val="00F01E93"/>
    <w:rsid w:val="00F03356"/>
    <w:rsid w:val="00F10096"/>
    <w:rsid w:val="00F14FEE"/>
    <w:rsid w:val="00F168D5"/>
    <w:rsid w:val="00F2305D"/>
    <w:rsid w:val="00F261DC"/>
    <w:rsid w:val="00F31883"/>
    <w:rsid w:val="00F31E2E"/>
    <w:rsid w:val="00F40644"/>
    <w:rsid w:val="00F42859"/>
    <w:rsid w:val="00F47D68"/>
    <w:rsid w:val="00F501A4"/>
    <w:rsid w:val="00F50CCA"/>
    <w:rsid w:val="00F61F07"/>
    <w:rsid w:val="00F62EE0"/>
    <w:rsid w:val="00F642EF"/>
    <w:rsid w:val="00F81D7E"/>
    <w:rsid w:val="00F8650C"/>
    <w:rsid w:val="00F86D44"/>
    <w:rsid w:val="00F918AF"/>
    <w:rsid w:val="00F91FE9"/>
    <w:rsid w:val="00F924B6"/>
    <w:rsid w:val="00FA266D"/>
    <w:rsid w:val="00FA3ACE"/>
    <w:rsid w:val="00FB0A78"/>
    <w:rsid w:val="00FB51A4"/>
    <w:rsid w:val="00FB5214"/>
    <w:rsid w:val="00FB57D7"/>
    <w:rsid w:val="00FB6051"/>
    <w:rsid w:val="00FB659D"/>
    <w:rsid w:val="00FC5610"/>
    <w:rsid w:val="00FD2D58"/>
    <w:rsid w:val="00FD4577"/>
    <w:rsid w:val="00FD65E4"/>
    <w:rsid w:val="00FF14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47AF"/>
  <w15:docId w15:val="{D7505A1F-F70D-4190-8530-1ECB6E28D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hadow/>
        <w:sz w:val="26"/>
        <w:szCs w:val="26"/>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3F27"/>
    <w:pPr>
      <w:spacing w:after="0" w:line="240" w:lineRule="auto"/>
    </w:pPr>
    <w:rPr>
      <w:rFonts w:eastAsia="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C00"/>
    <w:pPr>
      <w:tabs>
        <w:tab w:val="center" w:pos="4153"/>
        <w:tab w:val="right" w:pos="8306"/>
      </w:tabs>
    </w:pPr>
  </w:style>
  <w:style w:type="character" w:customStyle="1" w:styleId="HeaderChar">
    <w:name w:val="Header Char"/>
    <w:basedOn w:val="DefaultParagraphFont"/>
    <w:link w:val="Header"/>
    <w:uiPriority w:val="99"/>
    <w:rsid w:val="009F0C00"/>
    <w:rPr>
      <w:rFonts w:eastAsia="Times New Roman"/>
      <w:sz w:val="24"/>
      <w:szCs w:val="24"/>
      <w:lang w:eastAsia="lv-LV"/>
      <w14:shadow w14:blurRad="0" w14:dist="0" w14:dir="0" w14:sx="0" w14:sy="0" w14:kx="0" w14:ky="0" w14:algn="none">
        <w14:srgbClr w14:val="000000"/>
      </w14:shadow>
    </w:rPr>
  </w:style>
  <w:style w:type="paragraph" w:styleId="Footer">
    <w:name w:val="footer"/>
    <w:basedOn w:val="Normal"/>
    <w:link w:val="FooterChar"/>
    <w:uiPriority w:val="99"/>
    <w:unhideWhenUsed/>
    <w:rsid w:val="009F0C00"/>
    <w:pPr>
      <w:tabs>
        <w:tab w:val="center" w:pos="4153"/>
        <w:tab w:val="right" w:pos="8306"/>
      </w:tabs>
    </w:pPr>
  </w:style>
  <w:style w:type="character" w:customStyle="1" w:styleId="FooterChar">
    <w:name w:val="Footer Char"/>
    <w:basedOn w:val="DefaultParagraphFont"/>
    <w:link w:val="Footer"/>
    <w:uiPriority w:val="99"/>
    <w:rsid w:val="009F0C00"/>
    <w:rPr>
      <w:rFonts w:eastAsia="Times New Roman"/>
      <w:sz w:val="24"/>
      <w:szCs w:val="24"/>
      <w:lang w:eastAsia="lv-LV"/>
      <w14:shadow w14:blurRad="0" w14:dist="0" w14:dir="0" w14:sx="0" w14:sy="0" w14:kx="0" w14:ky="0" w14:algn="none">
        <w14:srgbClr w14:val="000000"/>
      </w14:shadow>
    </w:rPr>
  </w:style>
  <w:style w:type="paragraph" w:styleId="BalloonText">
    <w:name w:val="Balloon Text"/>
    <w:basedOn w:val="Normal"/>
    <w:link w:val="BalloonTextChar"/>
    <w:uiPriority w:val="99"/>
    <w:semiHidden/>
    <w:unhideWhenUsed/>
    <w:rsid w:val="00E374CF"/>
    <w:rPr>
      <w:rFonts w:ascii="Tahoma" w:hAnsi="Tahoma" w:cs="Tahoma"/>
      <w:sz w:val="16"/>
      <w:szCs w:val="16"/>
    </w:rPr>
  </w:style>
  <w:style w:type="character" w:customStyle="1" w:styleId="BalloonTextChar">
    <w:name w:val="Balloon Text Char"/>
    <w:basedOn w:val="DefaultParagraphFont"/>
    <w:link w:val="BalloonText"/>
    <w:uiPriority w:val="99"/>
    <w:semiHidden/>
    <w:rsid w:val="00E374CF"/>
    <w:rPr>
      <w:rFonts w:ascii="Tahoma" w:eastAsia="Times New Roman" w:hAnsi="Tahoma" w:cs="Tahoma"/>
      <w:sz w:val="16"/>
      <w:szCs w:val="16"/>
      <w:lang w:eastAsia="lv-LV"/>
      <w14:shadow w14:blurRad="0" w14:dist="0" w14:dir="0" w14:sx="0" w14:sy="0" w14:kx="0" w14:ky="0" w14:algn="none">
        <w14:srgbClr w14:val="000000"/>
      </w14:shadow>
    </w:rPr>
  </w:style>
  <w:style w:type="paragraph" w:styleId="ListParagraph">
    <w:name w:val="List Paragraph"/>
    <w:basedOn w:val="Normal"/>
    <w:uiPriority w:val="34"/>
    <w:qFormat/>
    <w:rsid w:val="00C0064E"/>
    <w:pPr>
      <w:ind w:left="720"/>
      <w:contextualSpacing/>
    </w:pPr>
  </w:style>
  <w:style w:type="character" w:styleId="Hyperlink">
    <w:name w:val="Hyperlink"/>
    <w:basedOn w:val="DefaultParagraphFont"/>
    <w:uiPriority w:val="99"/>
    <w:unhideWhenUsed/>
    <w:rsid w:val="00AC4762"/>
    <w:rPr>
      <w:color w:val="0000FF" w:themeColor="hyperlink"/>
      <w:u w:val="single"/>
    </w:rPr>
  </w:style>
  <w:style w:type="character" w:styleId="UnresolvedMention">
    <w:name w:val="Unresolved Mention"/>
    <w:basedOn w:val="DefaultParagraphFont"/>
    <w:uiPriority w:val="99"/>
    <w:semiHidden/>
    <w:unhideWhenUsed/>
    <w:rsid w:val="00AC4762"/>
    <w:rPr>
      <w:color w:val="808080"/>
      <w:shd w:val="clear" w:color="auto" w:fill="E6E6E6"/>
    </w:rPr>
  </w:style>
  <w:style w:type="table" w:styleId="TableGrid">
    <w:name w:val="Table Grid"/>
    <w:basedOn w:val="TableNormal"/>
    <w:uiPriority w:val="39"/>
    <w:rsid w:val="0049719B"/>
    <w:pPr>
      <w:spacing w:after="0" w:line="240" w:lineRule="auto"/>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491818">
      <w:bodyDiv w:val="1"/>
      <w:marLeft w:val="0"/>
      <w:marRight w:val="0"/>
      <w:marTop w:val="0"/>
      <w:marBottom w:val="0"/>
      <w:divBdr>
        <w:top w:val="none" w:sz="0" w:space="0" w:color="auto"/>
        <w:left w:val="none" w:sz="0" w:space="0" w:color="auto"/>
        <w:bottom w:val="none" w:sz="0" w:space="0" w:color="auto"/>
        <w:right w:val="none" w:sz="0" w:space="0" w:color="auto"/>
      </w:divBdr>
    </w:div>
    <w:div w:id="656691582">
      <w:bodyDiv w:val="1"/>
      <w:marLeft w:val="0"/>
      <w:marRight w:val="0"/>
      <w:marTop w:val="0"/>
      <w:marBottom w:val="0"/>
      <w:divBdr>
        <w:top w:val="none" w:sz="0" w:space="0" w:color="auto"/>
        <w:left w:val="none" w:sz="0" w:space="0" w:color="auto"/>
        <w:bottom w:val="none" w:sz="0" w:space="0" w:color="auto"/>
        <w:right w:val="none" w:sz="0" w:space="0" w:color="auto"/>
      </w:divBdr>
    </w:div>
    <w:div w:id="136177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aunina@edu.r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13D09-CC6E-4E5C-B0AD-95B3DCF5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3830</Words>
  <Characters>2184</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Zalāne (IKSD)</dc:creator>
  <cp:lastModifiedBy>Kristiāna Pauniņa</cp:lastModifiedBy>
  <cp:revision>3</cp:revision>
  <cp:lastPrinted>2018-10-24T10:57:00Z</cp:lastPrinted>
  <dcterms:created xsi:type="dcterms:W3CDTF">2022-05-17T07:30:00Z</dcterms:created>
  <dcterms:modified xsi:type="dcterms:W3CDTF">2022-05-17T07:31:00Z</dcterms:modified>
</cp:coreProperties>
</file>